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92762" w14:textId="78DD38A9" w:rsidR="00DC56FA" w:rsidRDefault="00DC56FA" w:rsidP="00DC56FA">
      <w:pPr>
        <w:jc w:val="center"/>
        <w:rPr>
          <w:rFonts w:ascii="Times New Roman" w:eastAsiaTheme="majorEastAsia" w:hAnsi="Times New Roman"/>
          <w:b/>
          <w:color w:val="2E74B5" w:themeColor="accent1" w:themeShade="BF"/>
          <w:sz w:val="24"/>
          <w:szCs w:val="24"/>
        </w:rPr>
      </w:pPr>
      <w:r>
        <w:rPr>
          <w:rFonts w:ascii="Times New Roman" w:eastAsiaTheme="majorEastAsia" w:hAnsi="Times New Roman"/>
          <w:b/>
          <w:color w:val="2E74B5" w:themeColor="accent1" w:themeShade="BF"/>
          <w:sz w:val="24"/>
          <w:szCs w:val="24"/>
        </w:rPr>
        <w:t>RENDICION DE CUENTAS</w:t>
      </w:r>
      <w:r w:rsidRPr="00404764">
        <w:rPr>
          <w:rFonts w:ascii="Times New Roman" w:eastAsiaTheme="majorEastAsia" w:hAnsi="Times New Roman"/>
          <w:b/>
          <w:color w:val="2E74B5" w:themeColor="accent1" w:themeShade="BF"/>
          <w:sz w:val="24"/>
          <w:szCs w:val="24"/>
        </w:rPr>
        <w:t xml:space="preserve"> </w:t>
      </w:r>
      <w:r>
        <w:rPr>
          <w:rFonts w:ascii="Times New Roman" w:eastAsiaTheme="majorEastAsia" w:hAnsi="Times New Roman"/>
          <w:b/>
          <w:color w:val="2E74B5" w:themeColor="accent1" w:themeShade="BF"/>
          <w:sz w:val="24"/>
          <w:szCs w:val="24"/>
        </w:rPr>
        <w:t xml:space="preserve">SECTOR </w:t>
      </w:r>
      <w:r w:rsidRPr="00404764">
        <w:rPr>
          <w:rFonts w:ascii="Times New Roman" w:eastAsiaTheme="majorEastAsia" w:hAnsi="Times New Roman"/>
          <w:b/>
          <w:color w:val="2E74B5" w:themeColor="accent1" w:themeShade="BF"/>
          <w:sz w:val="24"/>
          <w:szCs w:val="24"/>
        </w:rPr>
        <w:t>HABITAT</w:t>
      </w:r>
      <w:r>
        <w:rPr>
          <w:rFonts w:ascii="Times New Roman" w:eastAsiaTheme="majorEastAsia" w:hAnsi="Times New Roman"/>
          <w:b/>
          <w:color w:val="2E74B5" w:themeColor="accent1" w:themeShade="BF"/>
          <w:sz w:val="24"/>
          <w:szCs w:val="24"/>
        </w:rPr>
        <w:t xml:space="preserve"> 2016 </w:t>
      </w:r>
    </w:p>
    <w:p w14:paraId="32B420B0" w14:textId="77777777" w:rsidR="00DC56FA" w:rsidRDefault="00DC56FA" w:rsidP="003C727E">
      <w:pPr>
        <w:rPr>
          <w:rFonts w:ascii="Times New Roman" w:eastAsiaTheme="majorEastAsia" w:hAnsi="Times New Roman"/>
          <w:b/>
          <w:color w:val="2E74B5" w:themeColor="accent1" w:themeShade="BF"/>
          <w:sz w:val="24"/>
          <w:szCs w:val="24"/>
        </w:rPr>
      </w:pPr>
    </w:p>
    <w:p w14:paraId="4356D2CF" w14:textId="77777777" w:rsidR="00DC56FA" w:rsidRPr="00DC56FA" w:rsidRDefault="00DC56FA" w:rsidP="003C727E">
      <w:pPr>
        <w:rPr>
          <w:rFonts w:ascii="Times New Roman" w:eastAsiaTheme="majorEastAsia" w:hAnsi="Times New Roman"/>
          <w:b/>
          <w:color w:val="2E74B5" w:themeColor="accent1" w:themeShade="BF"/>
          <w:sz w:val="24"/>
          <w:szCs w:val="24"/>
        </w:rPr>
      </w:pPr>
    </w:p>
    <w:p w14:paraId="74E224FD" w14:textId="062713BE" w:rsidR="00DC56FA" w:rsidRDefault="00DC56FA" w:rsidP="003C727E">
      <w:pPr>
        <w:rPr>
          <w:rFonts w:ascii="Times New Roman" w:hAnsi="Times New Roman"/>
          <w:sz w:val="24"/>
          <w:szCs w:val="24"/>
        </w:rPr>
      </w:pPr>
      <w:r w:rsidRPr="00DC56FA">
        <w:rPr>
          <w:rFonts w:ascii="Times New Roman" w:hAnsi="Times New Roman"/>
          <w:sz w:val="24"/>
          <w:szCs w:val="22"/>
          <w:lang w:val="es-ES"/>
        </w:rPr>
        <w:t xml:space="preserve">El sector hábitat, conforme con lo estipulado en el Acuerdo 257 de 2016, está conformado por entidades adscritas (Secretaría Distrital de Hábitat, Caja de Vivienda Popular y Unidad Administrativa Especial de Servicios Públicos) y vinculadas (Empresa de Renovación Urbana, </w:t>
      </w:r>
      <w:proofErr w:type="spellStart"/>
      <w:r w:rsidRPr="00DC56FA">
        <w:rPr>
          <w:rFonts w:ascii="Times New Roman" w:hAnsi="Times New Roman"/>
          <w:sz w:val="24"/>
          <w:szCs w:val="22"/>
          <w:lang w:val="es-ES"/>
        </w:rPr>
        <w:t>Metrovivienda</w:t>
      </w:r>
      <w:proofErr w:type="spellEnd"/>
      <w:r w:rsidRPr="00DC56FA">
        <w:rPr>
          <w:rFonts w:ascii="Times New Roman" w:hAnsi="Times New Roman"/>
          <w:sz w:val="24"/>
          <w:szCs w:val="22"/>
          <w:lang w:val="es-ES"/>
        </w:rPr>
        <w:t xml:space="preserve"> y Empresa de Acueducto y Alcantarillado de Bogotá); el siguiente es el esquema </w:t>
      </w:r>
      <w:r w:rsidR="00E02F89">
        <w:rPr>
          <w:rFonts w:ascii="Times New Roman" w:hAnsi="Times New Roman"/>
          <w:sz w:val="24"/>
          <w:szCs w:val="22"/>
          <w:lang w:val="es-ES"/>
        </w:rPr>
        <w:t xml:space="preserve">presenta </w:t>
      </w:r>
      <w:r w:rsidRPr="00DC56FA">
        <w:rPr>
          <w:rFonts w:ascii="Times New Roman" w:hAnsi="Times New Roman"/>
          <w:sz w:val="24"/>
          <w:szCs w:val="22"/>
          <w:lang w:val="es-ES"/>
        </w:rPr>
        <w:t>la</w:t>
      </w:r>
      <w:r w:rsidR="00E02F89">
        <w:rPr>
          <w:rFonts w:ascii="Times New Roman" w:hAnsi="Times New Roman"/>
          <w:sz w:val="24"/>
          <w:szCs w:val="22"/>
          <w:lang w:val="es-ES"/>
        </w:rPr>
        <w:t xml:space="preserve"> vinculación del Sector Hábitat en </w:t>
      </w:r>
      <w:r w:rsidR="00C61D46">
        <w:rPr>
          <w:rFonts w:ascii="Times New Roman" w:hAnsi="Times New Roman"/>
          <w:sz w:val="24"/>
          <w:szCs w:val="22"/>
          <w:lang w:val="es-ES"/>
        </w:rPr>
        <w:t>temas misionales,</w:t>
      </w:r>
      <w:r w:rsidRPr="00DC56FA">
        <w:rPr>
          <w:rFonts w:ascii="Times New Roman" w:hAnsi="Times New Roman"/>
          <w:sz w:val="24"/>
          <w:szCs w:val="22"/>
          <w:lang w:val="es-ES"/>
        </w:rPr>
        <w:t xml:space="preserve"> en el </w:t>
      </w:r>
      <w:r w:rsidRPr="00DC56FA">
        <w:rPr>
          <w:rFonts w:ascii="Times New Roman" w:hAnsi="Times New Roman"/>
          <w:sz w:val="24"/>
          <w:szCs w:val="24"/>
        </w:rPr>
        <w:t>marco de la estructura del Plan de Desarrollo 2016 –</w:t>
      </w:r>
      <w:r>
        <w:rPr>
          <w:rFonts w:ascii="Times New Roman" w:hAnsi="Times New Roman"/>
          <w:sz w:val="24"/>
          <w:szCs w:val="24"/>
        </w:rPr>
        <w:t xml:space="preserve"> 2020 “Bogotá Mejor Para Todos”:</w:t>
      </w:r>
    </w:p>
    <w:p w14:paraId="509C0481" w14:textId="77777777" w:rsidR="00DC56FA" w:rsidRDefault="00DC56FA" w:rsidP="003C727E">
      <w:pP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3919"/>
        <w:gridCol w:w="2230"/>
      </w:tblGrid>
      <w:tr w:rsidR="00DC56FA" w:rsidRPr="00EF7DED" w14:paraId="3D96D489" w14:textId="77777777" w:rsidTr="00DC56FA">
        <w:trPr>
          <w:tblHeader/>
          <w:jc w:val="center"/>
        </w:trPr>
        <w:tc>
          <w:tcPr>
            <w:tcW w:w="2547" w:type="dxa"/>
            <w:shd w:val="clear" w:color="auto" w:fill="auto"/>
          </w:tcPr>
          <w:p w14:paraId="61C324A8" w14:textId="77777777" w:rsidR="00DC56FA" w:rsidRPr="00EF7DED" w:rsidRDefault="00DC56FA" w:rsidP="00D07A01">
            <w:pPr>
              <w:jc w:val="center"/>
              <w:rPr>
                <w:rFonts w:ascii="Times New Roman" w:hAnsi="Times New Roman"/>
                <w:b/>
                <w:sz w:val="20"/>
                <w:lang w:val="es-ES"/>
              </w:rPr>
            </w:pPr>
            <w:r w:rsidRPr="00EF7DED">
              <w:rPr>
                <w:rFonts w:ascii="Times New Roman" w:hAnsi="Times New Roman"/>
                <w:b/>
                <w:sz w:val="20"/>
                <w:lang w:val="es-ES"/>
              </w:rPr>
              <w:t>Pilar o Eje transversal</w:t>
            </w:r>
          </w:p>
        </w:tc>
        <w:tc>
          <w:tcPr>
            <w:tcW w:w="3919" w:type="dxa"/>
            <w:shd w:val="clear" w:color="auto" w:fill="auto"/>
          </w:tcPr>
          <w:p w14:paraId="16622E5B" w14:textId="77777777" w:rsidR="00DC56FA" w:rsidRPr="00EF7DED" w:rsidRDefault="00DC56FA" w:rsidP="00D07A01">
            <w:pPr>
              <w:jc w:val="center"/>
              <w:rPr>
                <w:rFonts w:ascii="Times New Roman" w:hAnsi="Times New Roman"/>
                <w:b/>
                <w:sz w:val="20"/>
                <w:lang w:val="es-ES"/>
              </w:rPr>
            </w:pPr>
            <w:r w:rsidRPr="00EF7DED">
              <w:rPr>
                <w:rFonts w:ascii="Times New Roman" w:hAnsi="Times New Roman"/>
                <w:b/>
                <w:sz w:val="20"/>
                <w:lang w:val="es-ES"/>
              </w:rPr>
              <w:t>Programa</w:t>
            </w:r>
          </w:p>
        </w:tc>
        <w:tc>
          <w:tcPr>
            <w:tcW w:w="2230" w:type="dxa"/>
            <w:shd w:val="clear" w:color="auto" w:fill="auto"/>
          </w:tcPr>
          <w:p w14:paraId="4F990D0F" w14:textId="77777777" w:rsidR="00DC56FA" w:rsidRPr="00EF7DED" w:rsidRDefault="00DC56FA" w:rsidP="00D07A01">
            <w:pPr>
              <w:jc w:val="center"/>
              <w:rPr>
                <w:rFonts w:ascii="Times New Roman" w:hAnsi="Times New Roman"/>
                <w:b/>
                <w:sz w:val="20"/>
                <w:lang w:val="es-ES"/>
              </w:rPr>
            </w:pPr>
            <w:r w:rsidRPr="00EF7DED">
              <w:rPr>
                <w:rFonts w:ascii="Times New Roman" w:hAnsi="Times New Roman"/>
                <w:b/>
                <w:sz w:val="20"/>
                <w:lang w:val="es-ES"/>
              </w:rPr>
              <w:t>Entidad</w:t>
            </w:r>
          </w:p>
        </w:tc>
      </w:tr>
      <w:tr w:rsidR="00DC56FA" w:rsidRPr="00EF7DED" w14:paraId="3C2B002F" w14:textId="77777777" w:rsidTr="00DC56FA">
        <w:trPr>
          <w:jc w:val="center"/>
        </w:trPr>
        <w:tc>
          <w:tcPr>
            <w:tcW w:w="2547" w:type="dxa"/>
            <w:shd w:val="clear" w:color="auto" w:fill="auto"/>
          </w:tcPr>
          <w:p w14:paraId="5E646EAC"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01- Pilar Igualdad de Calidad de Vida</w:t>
            </w:r>
          </w:p>
        </w:tc>
        <w:tc>
          <w:tcPr>
            <w:tcW w:w="3919" w:type="dxa"/>
            <w:shd w:val="clear" w:color="auto" w:fill="auto"/>
          </w:tcPr>
          <w:p w14:paraId="4DF6B3B2"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04- Familias protegidas y adaptadas al cambio climático.</w:t>
            </w:r>
          </w:p>
        </w:tc>
        <w:tc>
          <w:tcPr>
            <w:tcW w:w="2230" w:type="dxa"/>
            <w:shd w:val="clear" w:color="auto" w:fill="auto"/>
          </w:tcPr>
          <w:p w14:paraId="0C588D22"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 xml:space="preserve">CVP </w:t>
            </w:r>
          </w:p>
        </w:tc>
      </w:tr>
      <w:tr w:rsidR="00DC56FA" w:rsidRPr="00EF7DED" w14:paraId="3C0EE912" w14:textId="77777777" w:rsidTr="00DC56FA">
        <w:trPr>
          <w:jc w:val="center"/>
        </w:trPr>
        <w:tc>
          <w:tcPr>
            <w:tcW w:w="2547" w:type="dxa"/>
            <w:vMerge w:val="restart"/>
            <w:shd w:val="clear" w:color="auto" w:fill="auto"/>
          </w:tcPr>
          <w:p w14:paraId="58B2D2B4"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02. Pilar Democracia Urbana</w:t>
            </w:r>
          </w:p>
        </w:tc>
        <w:tc>
          <w:tcPr>
            <w:tcW w:w="3919" w:type="dxa"/>
            <w:shd w:val="clear" w:color="auto" w:fill="auto"/>
          </w:tcPr>
          <w:p w14:paraId="5F4A361B"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13 Infraestructura para el Desarrollo del Hábitat</w:t>
            </w:r>
          </w:p>
        </w:tc>
        <w:tc>
          <w:tcPr>
            <w:tcW w:w="2230" w:type="dxa"/>
            <w:shd w:val="clear" w:color="auto" w:fill="auto"/>
          </w:tcPr>
          <w:p w14:paraId="3D0A872B"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EAB</w:t>
            </w:r>
          </w:p>
          <w:p w14:paraId="57F062E6"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UAESP</w:t>
            </w:r>
          </w:p>
        </w:tc>
      </w:tr>
      <w:tr w:rsidR="00DC56FA" w:rsidRPr="00EF7DED" w14:paraId="562D9D1A" w14:textId="77777777" w:rsidTr="00DC56FA">
        <w:trPr>
          <w:trHeight w:val="273"/>
          <w:jc w:val="center"/>
        </w:trPr>
        <w:tc>
          <w:tcPr>
            <w:tcW w:w="2547" w:type="dxa"/>
            <w:vMerge/>
            <w:shd w:val="clear" w:color="auto" w:fill="auto"/>
          </w:tcPr>
          <w:p w14:paraId="23103760" w14:textId="77777777" w:rsidR="00DC56FA" w:rsidRPr="00EF7DED" w:rsidRDefault="00DC56FA" w:rsidP="00D07A01">
            <w:pPr>
              <w:rPr>
                <w:rFonts w:ascii="Times New Roman" w:hAnsi="Times New Roman"/>
                <w:sz w:val="20"/>
                <w:lang w:val="es-ES"/>
              </w:rPr>
            </w:pPr>
          </w:p>
        </w:tc>
        <w:tc>
          <w:tcPr>
            <w:tcW w:w="3919" w:type="dxa"/>
            <w:shd w:val="clear" w:color="auto" w:fill="auto"/>
          </w:tcPr>
          <w:p w14:paraId="40291D90"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14- Intervenciones Integrales del Hábitat</w:t>
            </w:r>
          </w:p>
        </w:tc>
        <w:tc>
          <w:tcPr>
            <w:tcW w:w="2230" w:type="dxa"/>
            <w:shd w:val="clear" w:color="auto" w:fill="auto"/>
          </w:tcPr>
          <w:p w14:paraId="2A6A96F2" w14:textId="548F4F96" w:rsidR="00DC56FA" w:rsidRPr="00EF7DED" w:rsidRDefault="00DC56FA" w:rsidP="00DC56FA">
            <w:pPr>
              <w:rPr>
                <w:rFonts w:ascii="Times New Roman" w:hAnsi="Times New Roman"/>
                <w:sz w:val="20"/>
                <w:lang w:val="es-ES"/>
              </w:rPr>
            </w:pPr>
            <w:r w:rsidRPr="00EF7DED">
              <w:rPr>
                <w:rFonts w:ascii="Times New Roman" w:hAnsi="Times New Roman"/>
                <w:sz w:val="20"/>
                <w:lang w:val="es-ES"/>
              </w:rPr>
              <w:t>SDHT, CVP, ERU</w:t>
            </w:r>
          </w:p>
        </w:tc>
      </w:tr>
      <w:tr w:rsidR="00DC56FA" w:rsidRPr="00EF7DED" w14:paraId="3D2A42E8" w14:textId="77777777" w:rsidTr="00DC56FA">
        <w:trPr>
          <w:jc w:val="center"/>
        </w:trPr>
        <w:tc>
          <w:tcPr>
            <w:tcW w:w="2547" w:type="dxa"/>
            <w:vMerge/>
            <w:shd w:val="clear" w:color="auto" w:fill="auto"/>
          </w:tcPr>
          <w:p w14:paraId="2EF0CA75" w14:textId="77777777" w:rsidR="00DC56FA" w:rsidRPr="00EF7DED" w:rsidRDefault="00DC56FA" w:rsidP="00D07A01">
            <w:pPr>
              <w:rPr>
                <w:rFonts w:ascii="Times New Roman" w:hAnsi="Times New Roman"/>
                <w:sz w:val="20"/>
                <w:lang w:val="es-ES"/>
              </w:rPr>
            </w:pPr>
          </w:p>
        </w:tc>
        <w:tc>
          <w:tcPr>
            <w:tcW w:w="3919" w:type="dxa"/>
            <w:shd w:val="clear" w:color="auto" w:fill="auto"/>
          </w:tcPr>
          <w:p w14:paraId="6693C670"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15 - Recuperación, incorporación, vida urbana y control de la ilegalidad</w:t>
            </w:r>
          </w:p>
        </w:tc>
        <w:tc>
          <w:tcPr>
            <w:tcW w:w="2230" w:type="dxa"/>
            <w:shd w:val="clear" w:color="auto" w:fill="auto"/>
          </w:tcPr>
          <w:p w14:paraId="4E30B205"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SDHT</w:t>
            </w:r>
          </w:p>
        </w:tc>
      </w:tr>
      <w:tr w:rsidR="00DC56FA" w:rsidRPr="00EF7DED" w14:paraId="57C5B92A" w14:textId="77777777" w:rsidTr="00DC56FA">
        <w:trPr>
          <w:jc w:val="center"/>
        </w:trPr>
        <w:tc>
          <w:tcPr>
            <w:tcW w:w="2547" w:type="dxa"/>
            <w:shd w:val="clear" w:color="auto" w:fill="auto"/>
          </w:tcPr>
          <w:p w14:paraId="19559700"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03 - Pilar Construcción de Comunidad y Cultura Ciudadana</w:t>
            </w:r>
          </w:p>
        </w:tc>
        <w:tc>
          <w:tcPr>
            <w:tcW w:w="3919" w:type="dxa"/>
            <w:shd w:val="clear" w:color="auto" w:fill="auto"/>
          </w:tcPr>
          <w:p w14:paraId="038E90E1"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19 - Seguridad y convivencia para todos</w:t>
            </w:r>
          </w:p>
        </w:tc>
        <w:tc>
          <w:tcPr>
            <w:tcW w:w="2230" w:type="dxa"/>
            <w:shd w:val="clear" w:color="auto" w:fill="auto"/>
          </w:tcPr>
          <w:p w14:paraId="0F58ABDB"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UAESP</w:t>
            </w:r>
          </w:p>
        </w:tc>
      </w:tr>
      <w:tr w:rsidR="00DC56FA" w:rsidRPr="00EF7DED" w14:paraId="787C1719" w14:textId="77777777" w:rsidTr="00DC56FA">
        <w:trPr>
          <w:jc w:val="center"/>
        </w:trPr>
        <w:tc>
          <w:tcPr>
            <w:tcW w:w="2547" w:type="dxa"/>
            <w:shd w:val="clear" w:color="auto" w:fill="auto"/>
          </w:tcPr>
          <w:p w14:paraId="575D5A78"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04- Eje transversal Nuevo Ordenamiento Territorial</w:t>
            </w:r>
          </w:p>
        </w:tc>
        <w:tc>
          <w:tcPr>
            <w:tcW w:w="3919" w:type="dxa"/>
            <w:shd w:val="clear" w:color="auto" w:fill="auto"/>
          </w:tcPr>
          <w:p w14:paraId="3364A21C"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30 - Financiación para el desarrollo territorial</w:t>
            </w:r>
          </w:p>
        </w:tc>
        <w:tc>
          <w:tcPr>
            <w:tcW w:w="2230" w:type="dxa"/>
            <w:shd w:val="clear" w:color="auto" w:fill="auto"/>
          </w:tcPr>
          <w:p w14:paraId="36ABD0F5" w14:textId="77777777" w:rsidR="00DC56FA" w:rsidRPr="00EF7DED" w:rsidRDefault="00DC56FA" w:rsidP="00D07A01">
            <w:pPr>
              <w:rPr>
                <w:rFonts w:ascii="Times New Roman" w:hAnsi="Times New Roman"/>
                <w:sz w:val="20"/>
                <w:lang w:val="es-ES"/>
              </w:rPr>
            </w:pPr>
            <w:r w:rsidRPr="00EF7DED">
              <w:rPr>
                <w:rFonts w:ascii="Times New Roman" w:hAnsi="Times New Roman"/>
                <w:sz w:val="20"/>
                <w:lang w:val="es-ES"/>
              </w:rPr>
              <w:t>SDHT</w:t>
            </w:r>
          </w:p>
        </w:tc>
      </w:tr>
      <w:tr w:rsidR="00EF7DED" w:rsidRPr="00EF7DED" w14:paraId="6419C278" w14:textId="77777777" w:rsidTr="00DC56FA">
        <w:trPr>
          <w:jc w:val="center"/>
        </w:trPr>
        <w:tc>
          <w:tcPr>
            <w:tcW w:w="2547" w:type="dxa"/>
            <w:vMerge w:val="restart"/>
            <w:shd w:val="clear" w:color="auto" w:fill="auto"/>
          </w:tcPr>
          <w:p w14:paraId="4CD6CD9C" w14:textId="0EAB5D64" w:rsidR="00EF7DED" w:rsidRPr="00EF7DED" w:rsidRDefault="00EF7DED" w:rsidP="00EF7DED">
            <w:pPr>
              <w:rPr>
                <w:rFonts w:ascii="Times New Roman" w:hAnsi="Times New Roman"/>
                <w:sz w:val="20"/>
                <w:lang w:val="es-ES"/>
              </w:rPr>
            </w:pPr>
            <w:r w:rsidRPr="00EF7DED">
              <w:rPr>
                <w:rFonts w:ascii="Times New Roman" w:hAnsi="Times New Roman"/>
                <w:sz w:val="20"/>
                <w:lang w:val="es-ES"/>
              </w:rPr>
              <w:t>06 - Eje transversal Sostenibilidad ambiental basada en eficiencia energética</w:t>
            </w:r>
          </w:p>
        </w:tc>
        <w:tc>
          <w:tcPr>
            <w:tcW w:w="3919" w:type="dxa"/>
            <w:shd w:val="clear" w:color="auto" w:fill="auto"/>
          </w:tcPr>
          <w:p w14:paraId="679AC4D1" w14:textId="5F2A8D1C" w:rsidR="00EF7DED" w:rsidRPr="00EF7DED" w:rsidRDefault="00EF7DED" w:rsidP="00EF7DED">
            <w:pPr>
              <w:rPr>
                <w:rFonts w:ascii="Times New Roman" w:hAnsi="Times New Roman"/>
                <w:sz w:val="20"/>
                <w:lang w:val="es-ES"/>
              </w:rPr>
            </w:pPr>
            <w:r w:rsidRPr="00EF7DED">
              <w:rPr>
                <w:rFonts w:ascii="Times New Roman" w:hAnsi="Times New Roman"/>
                <w:sz w:val="20"/>
                <w:lang w:val="es-ES"/>
              </w:rPr>
              <w:t>38 - Recuperación y manejo de la estructura ecológica principal</w:t>
            </w:r>
          </w:p>
        </w:tc>
        <w:tc>
          <w:tcPr>
            <w:tcW w:w="2230" w:type="dxa"/>
            <w:shd w:val="clear" w:color="auto" w:fill="auto"/>
          </w:tcPr>
          <w:p w14:paraId="377D7C63" w14:textId="7E744575" w:rsidR="00EF7DED" w:rsidRPr="00EF7DED" w:rsidRDefault="00EF7DED" w:rsidP="00EF7DED">
            <w:pPr>
              <w:rPr>
                <w:rFonts w:ascii="Times New Roman" w:hAnsi="Times New Roman"/>
                <w:sz w:val="20"/>
                <w:lang w:val="es-ES"/>
              </w:rPr>
            </w:pPr>
            <w:r w:rsidRPr="00EF7DED">
              <w:rPr>
                <w:rFonts w:ascii="Times New Roman" w:hAnsi="Times New Roman"/>
                <w:sz w:val="20"/>
                <w:lang w:val="es-ES"/>
              </w:rPr>
              <w:t>EAB</w:t>
            </w:r>
          </w:p>
        </w:tc>
      </w:tr>
      <w:tr w:rsidR="00EF7DED" w:rsidRPr="00EF7DED" w14:paraId="59A3D130" w14:textId="77777777" w:rsidTr="00DC56FA">
        <w:trPr>
          <w:jc w:val="center"/>
        </w:trPr>
        <w:tc>
          <w:tcPr>
            <w:tcW w:w="2547" w:type="dxa"/>
            <w:vMerge/>
            <w:shd w:val="clear" w:color="auto" w:fill="auto"/>
          </w:tcPr>
          <w:p w14:paraId="36A9E75D" w14:textId="77777777" w:rsidR="00EF7DED" w:rsidRPr="00EF7DED" w:rsidRDefault="00EF7DED" w:rsidP="00EF7DED">
            <w:pPr>
              <w:rPr>
                <w:rFonts w:ascii="Times New Roman" w:hAnsi="Times New Roman"/>
                <w:sz w:val="20"/>
                <w:lang w:val="es-ES"/>
              </w:rPr>
            </w:pPr>
          </w:p>
        </w:tc>
        <w:tc>
          <w:tcPr>
            <w:tcW w:w="3919" w:type="dxa"/>
            <w:shd w:val="clear" w:color="auto" w:fill="auto"/>
          </w:tcPr>
          <w:p w14:paraId="2F1D9E39" w14:textId="7C9D1618" w:rsidR="00EF7DED" w:rsidRPr="00EF7DED" w:rsidRDefault="00EF7DED" w:rsidP="00EF7DED">
            <w:pPr>
              <w:rPr>
                <w:rFonts w:ascii="Times New Roman" w:hAnsi="Times New Roman"/>
                <w:sz w:val="20"/>
                <w:lang w:val="es-ES"/>
              </w:rPr>
            </w:pPr>
            <w:r w:rsidRPr="00EF7DED">
              <w:rPr>
                <w:rFonts w:ascii="Times New Roman" w:hAnsi="Times New Roman"/>
                <w:sz w:val="20"/>
                <w:lang w:val="es-ES"/>
              </w:rPr>
              <w:t>39 - Ambiente sano para la equidad y disfrute del ciudadano</w:t>
            </w:r>
          </w:p>
        </w:tc>
        <w:tc>
          <w:tcPr>
            <w:tcW w:w="2230" w:type="dxa"/>
            <w:shd w:val="clear" w:color="auto" w:fill="auto"/>
          </w:tcPr>
          <w:p w14:paraId="1E4BB678" w14:textId="316599FF" w:rsidR="00EF7DED" w:rsidRPr="00EF7DED" w:rsidRDefault="00EF7DED" w:rsidP="00EF7DED">
            <w:pPr>
              <w:rPr>
                <w:rFonts w:ascii="Times New Roman" w:hAnsi="Times New Roman"/>
                <w:sz w:val="20"/>
                <w:lang w:val="es-ES"/>
              </w:rPr>
            </w:pPr>
            <w:r w:rsidRPr="00EF7DED">
              <w:rPr>
                <w:rFonts w:ascii="Times New Roman" w:hAnsi="Times New Roman"/>
                <w:sz w:val="20"/>
                <w:lang w:val="es-ES"/>
              </w:rPr>
              <w:t>EAB</w:t>
            </w:r>
          </w:p>
        </w:tc>
      </w:tr>
    </w:tbl>
    <w:p w14:paraId="33CED1AA" w14:textId="77777777" w:rsidR="00DC56FA" w:rsidRPr="00DC56FA" w:rsidRDefault="00DC56FA" w:rsidP="003C727E">
      <w:pPr>
        <w:rPr>
          <w:rFonts w:ascii="Times New Roman" w:eastAsiaTheme="majorEastAsia" w:hAnsi="Times New Roman"/>
          <w:b/>
          <w:color w:val="2E74B5" w:themeColor="accent1" w:themeShade="BF"/>
          <w:sz w:val="24"/>
          <w:szCs w:val="24"/>
        </w:rPr>
      </w:pPr>
    </w:p>
    <w:p w14:paraId="51FC55B8" w14:textId="2C653CB2" w:rsidR="00DC56FA" w:rsidRDefault="00DC56FA" w:rsidP="003C727E">
      <w:pPr>
        <w:rPr>
          <w:rFonts w:ascii="Times New Roman" w:hAnsi="Times New Roman"/>
          <w:sz w:val="24"/>
          <w:szCs w:val="22"/>
          <w:lang w:val="es-ES"/>
        </w:rPr>
      </w:pPr>
      <w:r w:rsidRPr="00DC56FA">
        <w:rPr>
          <w:rFonts w:ascii="Times New Roman" w:hAnsi="Times New Roman"/>
          <w:sz w:val="24"/>
          <w:szCs w:val="22"/>
          <w:lang w:val="es-ES"/>
        </w:rPr>
        <w:t>A continuación</w:t>
      </w:r>
      <w:r>
        <w:rPr>
          <w:rFonts w:ascii="Times New Roman" w:hAnsi="Times New Roman"/>
          <w:sz w:val="24"/>
          <w:szCs w:val="22"/>
          <w:lang w:val="es-ES"/>
        </w:rPr>
        <w:t xml:space="preserve"> se presentan el objetivo y las acciones más relevantes realizadas en la vigencia 2016 para cada uno de los programas.  </w:t>
      </w:r>
    </w:p>
    <w:p w14:paraId="29EC0CC3" w14:textId="58715F5D" w:rsidR="00DC56FA" w:rsidRDefault="00DC56FA" w:rsidP="003C727E">
      <w:pPr>
        <w:rPr>
          <w:rFonts w:ascii="Times New Roman" w:hAnsi="Times New Roman"/>
          <w:sz w:val="24"/>
          <w:szCs w:val="22"/>
          <w:lang w:val="es-ES"/>
        </w:rPr>
      </w:pPr>
      <w:r w:rsidRPr="00DC56FA">
        <w:rPr>
          <w:rFonts w:ascii="Times New Roman" w:hAnsi="Times New Roman"/>
          <w:sz w:val="24"/>
          <w:szCs w:val="22"/>
          <w:lang w:val="es-ES"/>
        </w:rPr>
        <w:t xml:space="preserve"> </w:t>
      </w:r>
    </w:p>
    <w:p w14:paraId="102CBB66" w14:textId="597736DD" w:rsidR="002A0CA9" w:rsidRPr="002A0CA9" w:rsidRDefault="002A0CA9" w:rsidP="003C727E">
      <w:pPr>
        <w:rPr>
          <w:rFonts w:ascii="Times New Roman" w:eastAsiaTheme="majorEastAsia" w:hAnsi="Times New Roman"/>
          <w:b/>
          <w:sz w:val="24"/>
          <w:szCs w:val="24"/>
          <w:u w:val="single"/>
        </w:rPr>
      </w:pPr>
      <w:r w:rsidRPr="002A0CA9">
        <w:rPr>
          <w:rFonts w:ascii="Times New Roman" w:eastAsiaTheme="majorEastAsia" w:hAnsi="Times New Roman"/>
          <w:b/>
          <w:sz w:val="24"/>
          <w:szCs w:val="24"/>
          <w:u w:val="single"/>
        </w:rPr>
        <w:t>04- Familias protegidas y adaptadas al cambio climático</w:t>
      </w:r>
    </w:p>
    <w:p w14:paraId="1F1DE8C3" w14:textId="77777777" w:rsidR="002A0CA9" w:rsidRDefault="002A0CA9" w:rsidP="003C727E">
      <w:pPr>
        <w:rPr>
          <w:rFonts w:ascii="Times New Roman" w:hAnsi="Times New Roman"/>
          <w:sz w:val="24"/>
          <w:szCs w:val="22"/>
          <w:lang w:val="es-ES"/>
        </w:rPr>
      </w:pPr>
    </w:p>
    <w:p w14:paraId="4D24811D" w14:textId="3BFB68D6" w:rsidR="002A0CA9" w:rsidRDefault="002A0CA9" w:rsidP="002A0CA9">
      <w:pPr>
        <w:rPr>
          <w:rFonts w:ascii="Times New Roman" w:hAnsi="Times New Roman"/>
          <w:sz w:val="24"/>
          <w:szCs w:val="22"/>
          <w:lang w:val="es-ES"/>
        </w:rPr>
      </w:pPr>
      <w:r>
        <w:rPr>
          <w:rFonts w:ascii="Times New Roman" w:hAnsi="Times New Roman"/>
          <w:sz w:val="24"/>
          <w:szCs w:val="22"/>
          <w:lang w:val="es-ES"/>
        </w:rPr>
        <w:t xml:space="preserve">Este programa busca disminuir el riesgo de pérdidas de vidas humanas, reduciendo el nivel de vulnerabilidad de las familias a través de intervenciones integrales que permitan garantizar su bienes, en cumplimiento de este objetivo la Caja de la Vivienda Popular avanzan en el  </w:t>
      </w:r>
      <w:r w:rsidRPr="002A0CA9">
        <w:rPr>
          <w:rFonts w:ascii="Times New Roman" w:hAnsi="Times New Roman"/>
          <w:sz w:val="24"/>
          <w:szCs w:val="22"/>
          <w:lang w:val="es-ES"/>
        </w:rPr>
        <w:t xml:space="preserve">reasentamiento de la población localizada en zonas de riesgo no mitigable (zonas de inundación, avalancha, derrumbes o deslizamientos, zonas con problemas de hundimiento en el terreno y </w:t>
      </w:r>
      <w:r>
        <w:rPr>
          <w:rFonts w:ascii="Times New Roman" w:hAnsi="Times New Roman"/>
          <w:sz w:val="24"/>
          <w:szCs w:val="22"/>
          <w:lang w:val="es-ES"/>
        </w:rPr>
        <w:t>zonas con problemas geológicos), logrando durante el Plan de Desarrollo “</w:t>
      </w:r>
      <w:r w:rsidRPr="002A0CA9">
        <w:rPr>
          <w:rFonts w:ascii="Times New Roman" w:hAnsi="Times New Roman"/>
          <w:sz w:val="24"/>
          <w:szCs w:val="22"/>
          <w:lang w:val="es-ES"/>
        </w:rPr>
        <w:t>Bogotá Mejor Para Todos</w:t>
      </w:r>
      <w:r>
        <w:rPr>
          <w:rFonts w:ascii="Times New Roman" w:hAnsi="Times New Roman"/>
          <w:sz w:val="24"/>
          <w:szCs w:val="22"/>
          <w:lang w:val="es-ES"/>
        </w:rPr>
        <w:t>”</w:t>
      </w:r>
      <w:r w:rsidRPr="002A0CA9">
        <w:rPr>
          <w:rFonts w:ascii="Times New Roman" w:hAnsi="Times New Roman"/>
          <w:sz w:val="24"/>
          <w:szCs w:val="22"/>
          <w:lang w:val="es-ES"/>
        </w:rPr>
        <w:t xml:space="preserve"> </w:t>
      </w:r>
      <w:r>
        <w:rPr>
          <w:rFonts w:ascii="Times New Roman" w:hAnsi="Times New Roman"/>
          <w:sz w:val="24"/>
          <w:szCs w:val="22"/>
          <w:lang w:val="es-ES"/>
        </w:rPr>
        <w:t>el  reasentamiento de 565 hogares en las diferentes localidades así (</w:t>
      </w:r>
      <w:r w:rsidR="00767680" w:rsidRPr="002A0CA9">
        <w:rPr>
          <w:rFonts w:ascii="Times New Roman" w:hAnsi="Times New Roman"/>
          <w:sz w:val="24"/>
          <w:szCs w:val="22"/>
          <w:lang w:val="es-ES"/>
        </w:rPr>
        <w:t>Usaquén</w:t>
      </w:r>
      <w:r w:rsidRPr="002A0CA9">
        <w:rPr>
          <w:rFonts w:ascii="Times New Roman" w:hAnsi="Times New Roman"/>
          <w:sz w:val="24"/>
          <w:szCs w:val="22"/>
          <w:lang w:val="es-ES"/>
        </w:rPr>
        <w:t xml:space="preserve"> 5</w:t>
      </w:r>
      <w:r>
        <w:rPr>
          <w:rFonts w:ascii="Times New Roman" w:hAnsi="Times New Roman"/>
          <w:sz w:val="24"/>
          <w:szCs w:val="22"/>
          <w:lang w:val="es-ES"/>
        </w:rPr>
        <w:t xml:space="preserve">, </w:t>
      </w:r>
      <w:r w:rsidRPr="002A0CA9">
        <w:rPr>
          <w:rFonts w:ascii="Times New Roman" w:hAnsi="Times New Roman"/>
          <w:sz w:val="24"/>
          <w:szCs w:val="22"/>
          <w:lang w:val="es-ES"/>
        </w:rPr>
        <w:t>Santa Fe 13</w:t>
      </w:r>
      <w:r>
        <w:rPr>
          <w:rFonts w:ascii="Times New Roman" w:hAnsi="Times New Roman"/>
          <w:sz w:val="24"/>
          <w:szCs w:val="22"/>
          <w:lang w:val="es-ES"/>
        </w:rPr>
        <w:t xml:space="preserve">, </w:t>
      </w:r>
      <w:r w:rsidRPr="002A0CA9">
        <w:rPr>
          <w:rFonts w:ascii="Times New Roman" w:hAnsi="Times New Roman"/>
          <w:sz w:val="24"/>
          <w:szCs w:val="22"/>
          <w:lang w:val="es-ES"/>
        </w:rPr>
        <w:t xml:space="preserve">San </w:t>
      </w:r>
      <w:r w:rsidR="00767680" w:rsidRPr="002A0CA9">
        <w:rPr>
          <w:rFonts w:ascii="Times New Roman" w:hAnsi="Times New Roman"/>
          <w:sz w:val="24"/>
          <w:szCs w:val="22"/>
          <w:lang w:val="es-ES"/>
        </w:rPr>
        <w:t>Cristóbal</w:t>
      </w:r>
      <w:r w:rsidRPr="002A0CA9">
        <w:rPr>
          <w:rFonts w:ascii="Times New Roman" w:hAnsi="Times New Roman"/>
          <w:sz w:val="24"/>
          <w:szCs w:val="22"/>
          <w:lang w:val="es-ES"/>
        </w:rPr>
        <w:t xml:space="preserve"> 99</w:t>
      </w:r>
      <w:r>
        <w:rPr>
          <w:rFonts w:ascii="Times New Roman" w:hAnsi="Times New Roman"/>
          <w:sz w:val="24"/>
          <w:szCs w:val="22"/>
          <w:lang w:val="es-ES"/>
        </w:rPr>
        <w:t xml:space="preserve">, </w:t>
      </w:r>
      <w:r w:rsidRPr="002A0CA9">
        <w:rPr>
          <w:rFonts w:ascii="Times New Roman" w:hAnsi="Times New Roman"/>
          <w:sz w:val="24"/>
          <w:szCs w:val="22"/>
          <w:lang w:val="es-ES"/>
        </w:rPr>
        <w:t>Usme 69</w:t>
      </w:r>
      <w:r>
        <w:rPr>
          <w:rFonts w:ascii="Times New Roman" w:hAnsi="Times New Roman"/>
          <w:sz w:val="24"/>
          <w:szCs w:val="22"/>
          <w:lang w:val="es-ES"/>
        </w:rPr>
        <w:t xml:space="preserve">, </w:t>
      </w:r>
      <w:r w:rsidRPr="002A0CA9">
        <w:rPr>
          <w:rFonts w:ascii="Times New Roman" w:hAnsi="Times New Roman"/>
          <w:sz w:val="24"/>
          <w:szCs w:val="22"/>
          <w:lang w:val="es-ES"/>
        </w:rPr>
        <w:t>Suba 10</w:t>
      </w:r>
      <w:r>
        <w:rPr>
          <w:rFonts w:ascii="Times New Roman" w:hAnsi="Times New Roman"/>
          <w:sz w:val="24"/>
          <w:szCs w:val="22"/>
          <w:lang w:val="es-ES"/>
        </w:rPr>
        <w:t xml:space="preserve">, </w:t>
      </w:r>
      <w:r w:rsidRPr="002A0CA9">
        <w:rPr>
          <w:rFonts w:ascii="Times New Roman" w:hAnsi="Times New Roman"/>
          <w:sz w:val="24"/>
          <w:szCs w:val="22"/>
          <w:lang w:val="es-ES"/>
        </w:rPr>
        <w:t xml:space="preserve">Rafael Uribe </w:t>
      </w:r>
      <w:proofErr w:type="spellStart"/>
      <w:r w:rsidRPr="002A0CA9">
        <w:rPr>
          <w:rFonts w:ascii="Times New Roman" w:hAnsi="Times New Roman"/>
          <w:sz w:val="24"/>
          <w:szCs w:val="22"/>
          <w:lang w:val="es-ES"/>
        </w:rPr>
        <w:t>Uribe</w:t>
      </w:r>
      <w:proofErr w:type="spellEnd"/>
      <w:r w:rsidRPr="002A0CA9">
        <w:rPr>
          <w:rFonts w:ascii="Times New Roman" w:hAnsi="Times New Roman"/>
          <w:sz w:val="24"/>
          <w:szCs w:val="22"/>
          <w:lang w:val="es-ES"/>
        </w:rPr>
        <w:t xml:space="preserve"> 32</w:t>
      </w:r>
      <w:r>
        <w:rPr>
          <w:rFonts w:ascii="Times New Roman" w:hAnsi="Times New Roman"/>
          <w:sz w:val="24"/>
          <w:szCs w:val="22"/>
          <w:lang w:val="es-ES"/>
        </w:rPr>
        <w:t xml:space="preserve">, </w:t>
      </w:r>
      <w:r w:rsidRPr="002A0CA9">
        <w:rPr>
          <w:rFonts w:ascii="Times New Roman" w:hAnsi="Times New Roman"/>
          <w:sz w:val="24"/>
          <w:szCs w:val="22"/>
          <w:lang w:val="es-ES"/>
        </w:rPr>
        <w:t xml:space="preserve">Ciudad </w:t>
      </w:r>
      <w:r w:rsidR="00767680" w:rsidRPr="002A0CA9">
        <w:rPr>
          <w:rFonts w:ascii="Times New Roman" w:hAnsi="Times New Roman"/>
          <w:sz w:val="24"/>
          <w:szCs w:val="22"/>
          <w:lang w:val="es-ES"/>
        </w:rPr>
        <w:t>Bolívar</w:t>
      </w:r>
      <w:r w:rsidRPr="002A0CA9">
        <w:rPr>
          <w:rFonts w:ascii="Times New Roman" w:hAnsi="Times New Roman"/>
          <w:sz w:val="24"/>
          <w:szCs w:val="22"/>
          <w:lang w:val="es-ES"/>
        </w:rPr>
        <w:t xml:space="preserve"> 336</w:t>
      </w:r>
      <w:r>
        <w:rPr>
          <w:rFonts w:ascii="Times New Roman" w:hAnsi="Times New Roman"/>
          <w:sz w:val="24"/>
          <w:szCs w:val="22"/>
          <w:lang w:val="es-ES"/>
        </w:rPr>
        <w:t xml:space="preserve">, </w:t>
      </w:r>
      <w:r w:rsidRPr="002A0CA9">
        <w:rPr>
          <w:rFonts w:ascii="Times New Roman" w:hAnsi="Times New Roman"/>
          <w:sz w:val="24"/>
          <w:szCs w:val="22"/>
          <w:lang w:val="es-ES"/>
        </w:rPr>
        <w:t>Sumapaz 1</w:t>
      </w:r>
      <w:r>
        <w:rPr>
          <w:rFonts w:ascii="Times New Roman" w:hAnsi="Times New Roman"/>
          <w:sz w:val="24"/>
          <w:szCs w:val="22"/>
          <w:lang w:val="es-ES"/>
        </w:rPr>
        <w:t>)</w:t>
      </w:r>
    </w:p>
    <w:p w14:paraId="24F3B55D" w14:textId="77777777" w:rsidR="002A0CA9" w:rsidRPr="002A0CA9" w:rsidRDefault="002A0CA9" w:rsidP="002A0CA9">
      <w:pPr>
        <w:rPr>
          <w:rFonts w:ascii="Times New Roman" w:hAnsi="Times New Roman"/>
          <w:sz w:val="24"/>
          <w:szCs w:val="22"/>
          <w:lang w:val="es-ES"/>
        </w:rPr>
      </w:pPr>
    </w:p>
    <w:p w14:paraId="40EDE089" w14:textId="77777777" w:rsidR="00A55F1A" w:rsidRDefault="00A55F1A" w:rsidP="002A0CA9">
      <w:pPr>
        <w:rPr>
          <w:rFonts w:ascii="Times New Roman" w:hAnsi="Times New Roman"/>
          <w:sz w:val="24"/>
          <w:szCs w:val="22"/>
          <w:lang w:val="es-ES"/>
        </w:rPr>
      </w:pPr>
    </w:p>
    <w:p w14:paraId="00CBB8C5" w14:textId="77777777" w:rsidR="00A55F1A" w:rsidRDefault="00A55F1A" w:rsidP="002A0CA9">
      <w:pPr>
        <w:rPr>
          <w:rFonts w:ascii="Times New Roman" w:hAnsi="Times New Roman"/>
          <w:sz w:val="24"/>
          <w:szCs w:val="22"/>
          <w:lang w:val="es-ES"/>
        </w:rPr>
      </w:pPr>
    </w:p>
    <w:p w14:paraId="227C1E9B" w14:textId="77777777" w:rsidR="00A55F1A" w:rsidRDefault="00A55F1A" w:rsidP="002A0CA9">
      <w:pPr>
        <w:rPr>
          <w:rFonts w:ascii="Times New Roman" w:hAnsi="Times New Roman"/>
          <w:sz w:val="24"/>
          <w:szCs w:val="22"/>
          <w:lang w:val="es-ES"/>
        </w:rPr>
      </w:pPr>
    </w:p>
    <w:p w14:paraId="11463014" w14:textId="174EA006" w:rsidR="002A0CA9" w:rsidRDefault="002A0CA9" w:rsidP="002A0CA9">
      <w:pPr>
        <w:rPr>
          <w:rFonts w:ascii="Times New Roman" w:hAnsi="Times New Roman"/>
          <w:sz w:val="24"/>
          <w:szCs w:val="22"/>
          <w:lang w:val="es-ES"/>
        </w:rPr>
      </w:pPr>
      <w:r w:rsidRPr="002A0CA9">
        <w:rPr>
          <w:rFonts w:ascii="Times New Roman" w:hAnsi="Times New Roman"/>
          <w:sz w:val="24"/>
          <w:szCs w:val="22"/>
          <w:lang w:val="es-ES"/>
        </w:rPr>
        <w:lastRenderedPageBreak/>
        <w:t>Adicionalmente se asignaron 439 VUR, a hogares localizados en zona de alto riesgo no mitigable, se adquirieron 52 predios vía decreto 511/2010, 277 familias vinculadas</w:t>
      </w:r>
      <w:r>
        <w:rPr>
          <w:rFonts w:ascii="Times New Roman" w:hAnsi="Times New Roman"/>
          <w:sz w:val="24"/>
          <w:szCs w:val="22"/>
          <w:lang w:val="es-ES"/>
        </w:rPr>
        <w:t xml:space="preserve"> al programa de reasentamiento, </w:t>
      </w:r>
      <w:r w:rsidRPr="002A0CA9">
        <w:rPr>
          <w:rFonts w:ascii="Times New Roman" w:hAnsi="Times New Roman"/>
          <w:sz w:val="24"/>
          <w:szCs w:val="22"/>
          <w:lang w:val="es-ES"/>
        </w:rPr>
        <w:t>seleccionaron vivienda y se atendió al 72% de lo</w:t>
      </w:r>
      <w:r>
        <w:rPr>
          <w:rFonts w:ascii="Times New Roman" w:hAnsi="Times New Roman"/>
          <w:sz w:val="24"/>
          <w:szCs w:val="22"/>
          <w:lang w:val="es-ES"/>
        </w:rPr>
        <w:t xml:space="preserve">s </w:t>
      </w:r>
      <w:r w:rsidRPr="002A0CA9">
        <w:rPr>
          <w:rFonts w:ascii="Times New Roman" w:hAnsi="Times New Roman"/>
          <w:sz w:val="24"/>
          <w:szCs w:val="22"/>
          <w:lang w:val="es-ES"/>
        </w:rPr>
        <w:t>hogares localizados en zonas de alto riesgo no mitigable que hacen parte del programa de relocalización transitoria.</w:t>
      </w:r>
      <w:r>
        <w:rPr>
          <w:rFonts w:ascii="Times New Roman" w:hAnsi="Times New Roman"/>
          <w:sz w:val="24"/>
          <w:szCs w:val="22"/>
          <w:lang w:val="es-ES"/>
        </w:rPr>
        <w:t xml:space="preserve"> </w:t>
      </w:r>
    </w:p>
    <w:p w14:paraId="3E5DCEA3" w14:textId="77777777" w:rsidR="002A0CA9" w:rsidRDefault="002A0CA9" w:rsidP="003C727E">
      <w:pPr>
        <w:rPr>
          <w:rFonts w:ascii="Times New Roman" w:hAnsi="Times New Roman"/>
          <w:sz w:val="24"/>
          <w:szCs w:val="22"/>
          <w:lang w:val="es-ES"/>
        </w:rPr>
      </w:pPr>
    </w:p>
    <w:p w14:paraId="67479504" w14:textId="242D2196" w:rsidR="00242091" w:rsidRPr="00F86C96" w:rsidRDefault="00E02F89" w:rsidP="003C727E">
      <w:pPr>
        <w:rPr>
          <w:rFonts w:ascii="Times New Roman" w:eastAsiaTheme="majorEastAsia" w:hAnsi="Times New Roman"/>
          <w:b/>
          <w:sz w:val="24"/>
          <w:szCs w:val="24"/>
          <w:u w:val="single"/>
        </w:rPr>
      </w:pPr>
      <w:r>
        <w:rPr>
          <w:rFonts w:ascii="Times New Roman" w:eastAsiaTheme="majorEastAsia" w:hAnsi="Times New Roman"/>
          <w:b/>
          <w:sz w:val="24"/>
          <w:szCs w:val="24"/>
          <w:u w:val="single"/>
        </w:rPr>
        <w:t xml:space="preserve">13- </w:t>
      </w:r>
      <w:r w:rsidR="00DC56FA" w:rsidRPr="00F86C96">
        <w:rPr>
          <w:rFonts w:ascii="Times New Roman" w:eastAsiaTheme="majorEastAsia" w:hAnsi="Times New Roman"/>
          <w:b/>
          <w:sz w:val="24"/>
          <w:szCs w:val="24"/>
          <w:u w:val="single"/>
        </w:rPr>
        <w:t>Infraestructura para el Desarrollo del Hábitat</w:t>
      </w:r>
    </w:p>
    <w:p w14:paraId="402CA261" w14:textId="77777777" w:rsidR="00404764" w:rsidRPr="001959FF" w:rsidRDefault="00404764" w:rsidP="001959FF">
      <w:pPr>
        <w:rPr>
          <w:rFonts w:ascii="Times New Roman" w:hAnsi="Times New Roman"/>
          <w:sz w:val="24"/>
          <w:szCs w:val="24"/>
        </w:rPr>
      </w:pPr>
    </w:p>
    <w:p w14:paraId="0B5E3A9C" w14:textId="3B13D406" w:rsidR="00913100" w:rsidRDefault="00DC56FA" w:rsidP="001959FF">
      <w:pPr>
        <w:rPr>
          <w:rFonts w:ascii="Times New Roman" w:hAnsi="Times New Roman"/>
          <w:sz w:val="24"/>
          <w:szCs w:val="24"/>
        </w:rPr>
      </w:pPr>
      <w:r>
        <w:rPr>
          <w:rFonts w:ascii="Times New Roman" w:hAnsi="Times New Roman"/>
          <w:sz w:val="24"/>
          <w:szCs w:val="24"/>
        </w:rPr>
        <w:t>A</w:t>
      </w:r>
      <w:r w:rsidR="00404764">
        <w:rPr>
          <w:rFonts w:ascii="Times New Roman" w:hAnsi="Times New Roman"/>
          <w:sz w:val="24"/>
          <w:szCs w:val="24"/>
        </w:rPr>
        <w:t xml:space="preserve"> través </w:t>
      </w:r>
      <w:r>
        <w:rPr>
          <w:rFonts w:ascii="Times New Roman" w:hAnsi="Times New Roman"/>
          <w:sz w:val="24"/>
          <w:szCs w:val="24"/>
        </w:rPr>
        <w:t xml:space="preserve">de este programa </w:t>
      </w:r>
      <w:r w:rsidR="00404764">
        <w:rPr>
          <w:rFonts w:ascii="Times New Roman" w:hAnsi="Times New Roman"/>
          <w:sz w:val="24"/>
          <w:szCs w:val="24"/>
        </w:rPr>
        <w:t xml:space="preserve">se </w:t>
      </w:r>
      <w:r w:rsidR="00404764" w:rsidRPr="00404764">
        <w:rPr>
          <w:rFonts w:ascii="Times New Roman" w:hAnsi="Times New Roman"/>
          <w:sz w:val="24"/>
          <w:szCs w:val="24"/>
        </w:rPr>
        <w:t>garantizará la promoción de políticas para el aseguramiento y prestación eficiente de los servicios públ</w:t>
      </w:r>
      <w:r w:rsidR="00404764">
        <w:rPr>
          <w:rFonts w:ascii="Times New Roman" w:hAnsi="Times New Roman"/>
          <w:sz w:val="24"/>
          <w:szCs w:val="24"/>
        </w:rPr>
        <w:t xml:space="preserve">icos en el área urbana y rural, </w:t>
      </w:r>
      <w:r w:rsidR="00404764" w:rsidRPr="00404764">
        <w:rPr>
          <w:rFonts w:ascii="Times New Roman" w:hAnsi="Times New Roman"/>
          <w:sz w:val="24"/>
          <w:szCs w:val="24"/>
        </w:rPr>
        <w:t>ahorro y calidad del agua, conservación y recuperaci</w:t>
      </w:r>
      <w:r w:rsidR="00645366">
        <w:rPr>
          <w:rFonts w:ascii="Times New Roman" w:hAnsi="Times New Roman"/>
          <w:sz w:val="24"/>
          <w:szCs w:val="24"/>
        </w:rPr>
        <w:t>ón de ríos, quebradas y canales</w:t>
      </w:r>
      <w:r w:rsidR="00F647F9">
        <w:rPr>
          <w:rFonts w:ascii="Times New Roman" w:hAnsi="Times New Roman"/>
          <w:sz w:val="24"/>
          <w:szCs w:val="24"/>
        </w:rPr>
        <w:t>.</w:t>
      </w:r>
      <w:r w:rsidR="00645366">
        <w:rPr>
          <w:rFonts w:ascii="Times New Roman" w:hAnsi="Times New Roman"/>
          <w:sz w:val="24"/>
          <w:szCs w:val="24"/>
        </w:rPr>
        <w:t xml:space="preserve"> </w:t>
      </w:r>
      <w:r w:rsidR="00F647F9">
        <w:rPr>
          <w:rFonts w:ascii="Times New Roman" w:hAnsi="Times New Roman"/>
          <w:sz w:val="24"/>
          <w:szCs w:val="24"/>
        </w:rPr>
        <w:t>A</w:t>
      </w:r>
      <w:r w:rsidR="00645366">
        <w:rPr>
          <w:rFonts w:ascii="Times New Roman" w:hAnsi="Times New Roman"/>
          <w:sz w:val="24"/>
          <w:szCs w:val="24"/>
        </w:rPr>
        <w:t>sí mismo</w:t>
      </w:r>
      <w:r w:rsidR="00F647F9">
        <w:rPr>
          <w:rFonts w:ascii="Times New Roman" w:hAnsi="Times New Roman"/>
          <w:sz w:val="24"/>
          <w:szCs w:val="24"/>
        </w:rPr>
        <w:t xml:space="preserve"> </w:t>
      </w:r>
      <w:r w:rsidR="00645366">
        <w:rPr>
          <w:rFonts w:ascii="Times New Roman" w:hAnsi="Times New Roman"/>
          <w:sz w:val="24"/>
          <w:szCs w:val="24"/>
        </w:rPr>
        <w:t>s</w:t>
      </w:r>
      <w:r w:rsidR="00404764">
        <w:rPr>
          <w:rFonts w:ascii="Times New Roman" w:hAnsi="Times New Roman"/>
          <w:sz w:val="24"/>
          <w:szCs w:val="24"/>
        </w:rPr>
        <w:t xml:space="preserve">e consolidará </w:t>
      </w:r>
      <w:r w:rsidR="00404764" w:rsidRPr="00404764">
        <w:rPr>
          <w:rFonts w:ascii="Times New Roman" w:hAnsi="Times New Roman"/>
          <w:sz w:val="24"/>
          <w:szCs w:val="24"/>
        </w:rPr>
        <w:t>un modelo de prestación del servicio público de aseo que le permita a la ciudad un mejor aprovechamiento de los residuos</w:t>
      </w:r>
      <w:r w:rsidR="00404764">
        <w:rPr>
          <w:rFonts w:ascii="Times New Roman" w:hAnsi="Times New Roman"/>
          <w:sz w:val="24"/>
          <w:szCs w:val="24"/>
        </w:rPr>
        <w:t>.</w:t>
      </w:r>
    </w:p>
    <w:p w14:paraId="38FB1E35" w14:textId="77777777" w:rsidR="00645366" w:rsidRDefault="00645366" w:rsidP="001959FF">
      <w:pPr>
        <w:rPr>
          <w:rFonts w:ascii="Times New Roman" w:hAnsi="Times New Roman"/>
          <w:sz w:val="24"/>
          <w:szCs w:val="24"/>
          <w:lang w:val="es-ES"/>
        </w:rPr>
      </w:pPr>
    </w:p>
    <w:p w14:paraId="7C8B9A93" w14:textId="3FB6D44A" w:rsidR="009B0099" w:rsidRPr="009B0099" w:rsidRDefault="00645366" w:rsidP="00602978">
      <w:pPr>
        <w:rPr>
          <w:rFonts w:ascii="Times New Roman" w:eastAsia="Calibri" w:hAnsi="Times New Roman"/>
          <w:sz w:val="24"/>
          <w:szCs w:val="24"/>
          <w:lang w:val="es-CO"/>
        </w:rPr>
      </w:pPr>
      <w:r w:rsidRPr="001959FF">
        <w:rPr>
          <w:rFonts w:ascii="Times New Roman" w:hAnsi="Times New Roman"/>
          <w:sz w:val="24"/>
          <w:szCs w:val="24"/>
          <w:lang w:val="es-ES"/>
        </w:rPr>
        <w:t xml:space="preserve">Para llevar a cabo este objetivo, </w:t>
      </w:r>
      <w:r>
        <w:rPr>
          <w:rFonts w:ascii="Times New Roman" w:hAnsi="Times New Roman"/>
          <w:sz w:val="24"/>
          <w:szCs w:val="24"/>
          <w:lang w:val="es-ES"/>
        </w:rPr>
        <w:t xml:space="preserve">se pondrá </w:t>
      </w:r>
      <w:r w:rsidRPr="00404764">
        <w:rPr>
          <w:rFonts w:ascii="Times New Roman" w:hAnsi="Times New Roman"/>
          <w:sz w:val="24"/>
          <w:szCs w:val="24"/>
          <w:lang w:val="es-ES"/>
        </w:rPr>
        <w:t>en funcionamiento el</w:t>
      </w:r>
      <w:r>
        <w:rPr>
          <w:rFonts w:ascii="Times New Roman" w:hAnsi="Times New Roman"/>
          <w:sz w:val="24"/>
          <w:szCs w:val="24"/>
          <w:lang w:val="es-ES"/>
        </w:rPr>
        <w:t xml:space="preserve"> circuito ambiental de Bogotá</w:t>
      </w:r>
      <w:r w:rsidR="00F647F9">
        <w:rPr>
          <w:rFonts w:ascii="Times New Roman" w:hAnsi="Times New Roman"/>
          <w:sz w:val="24"/>
          <w:szCs w:val="24"/>
          <w:lang w:val="es-ES"/>
        </w:rPr>
        <w:t xml:space="preserve"> y</w:t>
      </w:r>
      <w:r>
        <w:rPr>
          <w:rFonts w:ascii="Times New Roman" w:hAnsi="Times New Roman"/>
          <w:sz w:val="24"/>
          <w:szCs w:val="24"/>
          <w:lang w:val="es-ES"/>
        </w:rPr>
        <w:t xml:space="preserve"> s</w:t>
      </w:r>
      <w:r w:rsidRPr="00404764">
        <w:rPr>
          <w:rFonts w:ascii="Times New Roman" w:hAnsi="Times New Roman"/>
          <w:sz w:val="24"/>
          <w:szCs w:val="24"/>
          <w:lang w:val="es-ES"/>
        </w:rPr>
        <w:t>e diseñarán las estrategias para que el disfrute ciudadano de estos espacios s</w:t>
      </w:r>
      <w:r w:rsidR="00911DA7">
        <w:rPr>
          <w:rFonts w:ascii="Times New Roman" w:hAnsi="Times New Roman"/>
          <w:sz w:val="24"/>
          <w:szCs w:val="24"/>
          <w:lang w:val="es-ES"/>
        </w:rPr>
        <w:t xml:space="preserve">ea sostenible y consistente con </w:t>
      </w:r>
      <w:r w:rsidRPr="00404764">
        <w:rPr>
          <w:rFonts w:ascii="Times New Roman" w:hAnsi="Times New Roman"/>
          <w:sz w:val="24"/>
          <w:szCs w:val="24"/>
          <w:lang w:val="es-ES"/>
        </w:rPr>
        <w:t>la p</w:t>
      </w:r>
      <w:r>
        <w:rPr>
          <w:rFonts w:ascii="Times New Roman" w:hAnsi="Times New Roman"/>
          <w:sz w:val="24"/>
          <w:szCs w:val="24"/>
          <w:lang w:val="es-ES"/>
        </w:rPr>
        <w:t>reservación del recurso natural</w:t>
      </w:r>
      <w:r w:rsidR="00F647F9">
        <w:rPr>
          <w:rFonts w:ascii="Times New Roman" w:hAnsi="Times New Roman"/>
          <w:sz w:val="24"/>
          <w:szCs w:val="24"/>
          <w:lang w:val="es-ES"/>
        </w:rPr>
        <w:t>. A</w:t>
      </w:r>
      <w:r>
        <w:rPr>
          <w:rFonts w:ascii="Times New Roman" w:hAnsi="Times New Roman"/>
          <w:sz w:val="24"/>
          <w:szCs w:val="24"/>
          <w:lang w:val="es-ES"/>
        </w:rPr>
        <w:t xml:space="preserve"> continuación se presentan los</w:t>
      </w:r>
      <w:r>
        <w:rPr>
          <w:rFonts w:ascii="Times New Roman" w:eastAsia="Calibri" w:hAnsi="Times New Roman"/>
          <w:sz w:val="24"/>
          <w:szCs w:val="24"/>
          <w:lang w:val="es-CO"/>
        </w:rPr>
        <w:t xml:space="preserve"> </w:t>
      </w:r>
      <w:r w:rsidR="009B0099" w:rsidRPr="009B0099">
        <w:rPr>
          <w:rFonts w:ascii="Times New Roman" w:eastAsia="Calibri" w:hAnsi="Times New Roman"/>
          <w:sz w:val="24"/>
          <w:szCs w:val="24"/>
          <w:lang w:val="es-CO"/>
        </w:rPr>
        <w:t xml:space="preserve">avances en las metas del programa </w:t>
      </w:r>
      <w:r>
        <w:rPr>
          <w:rFonts w:ascii="Times New Roman" w:eastAsia="Calibri" w:hAnsi="Times New Roman"/>
          <w:sz w:val="24"/>
          <w:szCs w:val="24"/>
          <w:lang w:val="es-CO"/>
        </w:rPr>
        <w:t xml:space="preserve">que contribuirán al logro de los objetivos mencionados. </w:t>
      </w:r>
    </w:p>
    <w:p w14:paraId="12B5FBB5" w14:textId="77777777" w:rsidR="009B0099" w:rsidRDefault="009B0099" w:rsidP="00602978">
      <w:pPr>
        <w:rPr>
          <w:rFonts w:ascii="Times New Roman" w:eastAsia="Calibri" w:hAnsi="Times New Roman"/>
          <w:b/>
          <w:sz w:val="24"/>
          <w:szCs w:val="24"/>
          <w:lang w:val="es-CO"/>
        </w:rPr>
      </w:pPr>
    </w:p>
    <w:p w14:paraId="6A85FD6F" w14:textId="3B91BE22" w:rsidR="00602978" w:rsidRPr="00F86C96" w:rsidRDefault="00602978" w:rsidP="00F86C96">
      <w:pPr>
        <w:pStyle w:val="Prrafodelista"/>
        <w:numPr>
          <w:ilvl w:val="0"/>
          <w:numId w:val="11"/>
        </w:numPr>
        <w:rPr>
          <w:rFonts w:ascii="Times New Roman" w:hAnsi="Times New Roman"/>
          <w:sz w:val="24"/>
          <w:szCs w:val="24"/>
          <w:lang w:val="es-ES"/>
        </w:rPr>
      </w:pPr>
      <w:r w:rsidRPr="00F86C96">
        <w:rPr>
          <w:rFonts w:ascii="Times New Roman" w:eastAsia="Calibri" w:hAnsi="Times New Roman"/>
          <w:b/>
          <w:sz w:val="24"/>
          <w:szCs w:val="24"/>
          <w:lang w:val="es-CO"/>
        </w:rPr>
        <w:t>Índice de Riesgo de la Calidad del Agua (IRCA), Coberturas de Acueducto y Alcantarillado, Contin</w:t>
      </w:r>
      <w:r w:rsidR="009B0AAB" w:rsidRPr="00F86C96">
        <w:rPr>
          <w:rFonts w:ascii="Times New Roman" w:eastAsia="Calibri" w:hAnsi="Times New Roman"/>
          <w:b/>
          <w:sz w:val="24"/>
          <w:szCs w:val="24"/>
          <w:lang w:val="es-CO"/>
        </w:rPr>
        <w:t xml:space="preserve">uidad del servicio de acueducto </w:t>
      </w:r>
      <w:r w:rsidRPr="00F86C96">
        <w:rPr>
          <w:rFonts w:ascii="Times New Roman" w:eastAsia="Calibri" w:hAnsi="Times New Roman"/>
          <w:b/>
          <w:sz w:val="24"/>
          <w:szCs w:val="24"/>
          <w:lang w:val="es-CO"/>
        </w:rPr>
        <w:t xml:space="preserve">e Índice de reclamación operativa de alcantarillado </w:t>
      </w:r>
    </w:p>
    <w:p w14:paraId="31586B62" w14:textId="77777777" w:rsidR="009E1F1E" w:rsidRPr="0023376E" w:rsidRDefault="009E1F1E" w:rsidP="009E1F1E">
      <w:pPr>
        <w:pStyle w:val="Textoindependiente"/>
        <w:rPr>
          <w:rFonts w:ascii="Arial" w:eastAsia="Calibri" w:hAnsi="Arial" w:cs="Arial"/>
          <w:sz w:val="22"/>
          <w:szCs w:val="22"/>
          <w:lang w:val="es-CO"/>
        </w:rPr>
      </w:pPr>
    </w:p>
    <w:p w14:paraId="281C6333" w14:textId="77777777" w:rsidR="00602978" w:rsidRPr="00602978" w:rsidRDefault="009E1F1E" w:rsidP="00F86C96">
      <w:pPr>
        <w:pStyle w:val="Textoindependiente"/>
        <w:ind w:left="426"/>
        <w:rPr>
          <w:rFonts w:ascii="Times New Roman" w:hAnsi="Times New Roman"/>
        </w:rPr>
      </w:pPr>
      <w:r w:rsidRPr="00602978">
        <w:rPr>
          <w:rFonts w:ascii="Times New Roman" w:eastAsia="Calibri" w:hAnsi="Times New Roman"/>
          <w:lang w:val="es-CO"/>
        </w:rPr>
        <w:t xml:space="preserve">Durante el segundo semestre de 2016 la EAB </w:t>
      </w:r>
      <w:r w:rsidR="00602978" w:rsidRPr="00602978">
        <w:rPr>
          <w:rFonts w:ascii="Times New Roman" w:hAnsi="Times New Roman"/>
        </w:rPr>
        <w:t>ejecutó, inversiones orientadas al cumplimiento de las coberturas de los servicios de acueducto y alcantarillado sanitario y pluvial, las cuales alcanzan valores superiores al 90% en tal sentido se destacan: cobertura de acueducto 99,97%; cobertura de alcantarillado sanitario 99.34%; y cobertura de alcantarillado pluvial 99.52%</w:t>
      </w:r>
      <w:r w:rsidR="00602978" w:rsidRPr="00602978">
        <w:rPr>
          <w:rStyle w:val="Refdenotaalpie"/>
          <w:rFonts w:ascii="Times New Roman" w:hAnsi="Times New Roman"/>
        </w:rPr>
        <w:footnoteReference w:id="1"/>
      </w:r>
      <w:r w:rsidR="00602978" w:rsidRPr="00602978">
        <w:rPr>
          <w:rFonts w:ascii="Times New Roman" w:hAnsi="Times New Roman"/>
        </w:rPr>
        <w:t>.</w:t>
      </w:r>
    </w:p>
    <w:p w14:paraId="641651C6" w14:textId="77777777" w:rsidR="009E1F1E" w:rsidRPr="009E1F1E" w:rsidRDefault="009E1F1E" w:rsidP="00F86C96">
      <w:pPr>
        <w:pStyle w:val="Textoindependiente"/>
        <w:ind w:left="426"/>
        <w:rPr>
          <w:rFonts w:ascii="Times New Roman" w:eastAsia="Calibri" w:hAnsi="Times New Roman"/>
          <w:lang w:val="es-CO"/>
        </w:rPr>
      </w:pPr>
    </w:p>
    <w:p w14:paraId="474C0640" w14:textId="6137EA8D" w:rsidR="009E1F1E" w:rsidRPr="009E1F1E" w:rsidRDefault="009E1F1E" w:rsidP="00F86C96">
      <w:pPr>
        <w:pStyle w:val="Textoindependiente"/>
        <w:ind w:left="426"/>
        <w:rPr>
          <w:rFonts w:ascii="Times New Roman" w:hAnsi="Times New Roman"/>
        </w:rPr>
      </w:pPr>
      <w:r w:rsidRPr="009E1F1E">
        <w:rPr>
          <w:rFonts w:ascii="Times New Roman" w:hAnsi="Times New Roman"/>
          <w:lang w:val="es-CO"/>
        </w:rPr>
        <w:t xml:space="preserve">Adicionalmente, se han incorporado en Bogotá 21.751 nuevos suscriptores de acueducto y 23.464 en alcantarillado sanitario a nivel residencial lo cual beneficia aproximadamente a 96.080 habitantes en acueducto y 105.588 en alcantarillado sanitario (estimando 4,5 habitantes por suscriptor o cuenta contrato). Las 10 localidades con mayor incorporación de usuarios residenciales en este periodo son: Suba, </w:t>
      </w:r>
      <w:r w:rsidRPr="009E1F1E">
        <w:rPr>
          <w:rFonts w:ascii="Times New Roman" w:hAnsi="Times New Roman"/>
        </w:rPr>
        <w:t>Bosa, Usaquén, Kennedy, Usaquén, Ciudad Bolívar, Engativá, Santa Fe, Usme, Fontibón y Chapinero.</w:t>
      </w:r>
    </w:p>
    <w:p w14:paraId="4A989F9D" w14:textId="77777777" w:rsidR="009E1F1E" w:rsidRPr="009E1F1E" w:rsidRDefault="009E1F1E" w:rsidP="00F86C96">
      <w:pPr>
        <w:pStyle w:val="Textoindependiente"/>
        <w:ind w:left="426"/>
        <w:rPr>
          <w:rFonts w:ascii="Times New Roman" w:hAnsi="Times New Roman"/>
        </w:rPr>
      </w:pPr>
    </w:p>
    <w:p w14:paraId="5C30261F" w14:textId="77777777" w:rsidR="00602978" w:rsidRDefault="009E1F1E" w:rsidP="00F86C96">
      <w:pPr>
        <w:pStyle w:val="Textoindependiente"/>
        <w:ind w:left="426"/>
        <w:rPr>
          <w:rFonts w:ascii="Times New Roman" w:hAnsi="Times New Roman"/>
        </w:rPr>
      </w:pPr>
      <w:r w:rsidRPr="009E1F1E">
        <w:rPr>
          <w:rFonts w:ascii="Times New Roman" w:hAnsi="Times New Roman"/>
        </w:rPr>
        <w:t>El agua suministrada registra altos niveles de calidad, reflejado en un Índice de Riesgo de Calidad del agua, inferior al 1%, muy distante del máximo permitido legalmente de 5%. Así mismo la continuidad del servicio a octubre de 2016 es de 99.56%, superando el mínimo de 97% establecido para el año 2016. En cuanto al Índice de Reclamación de Alcantarillado es de 0,18%, que está por debajo del valor esperado 0,30%, lo cual indica que se mantiene la gestión operativa de alcantarillado cumpliendo la meta.</w:t>
      </w:r>
    </w:p>
    <w:p w14:paraId="3E33562B" w14:textId="77777777" w:rsidR="00602978" w:rsidRDefault="00602978" w:rsidP="00602978">
      <w:pPr>
        <w:pStyle w:val="Textoindependiente"/>
        <w:rPr>
          <w:rFonts w:ascii="Times New Roman" w:hAnsi="Times New Roman"/>
        </w:rPr>
      </w:pPr>
    </w:p>
    <w:p w14:paraId="0EAEED44" w14:textId="77777777" w:rsidR="00A55F1A" w:rsidRDefault="00A55F1A" w:rsidP="00602978">
      <w:pPr>
        <w:pStyle w:val="Textoindependiente"/>
        <w:rPr>
          <w:rFonts w:ascii="Times New Roman" w:hAnsi="Times New Roman"/>
        </w:rPr>
      </w:pPr>
    </w:p>
    <w:p w14:paraId="67D0F738" w14:textId="77777777" w:rsidR="00A55F1A" w:rsidRDefault="00A55F1A" w:rsidP="00602978">
      <w:pPr>
        <w:pStyle w:val="Textoindependiente"/>
        <w:rPr>
          <w:rFonts w:ascii="Times New Roman" w:hAnsi="Times New Roman"/>
        </w:rPr>
      </w:pPr>
    </w:p>
    <w:p w14:paraId="56A919AA" w14:textId="77777777" w:rsidR="00A55F1A" w:rsidRDefault="00A55F1A" w:rsidP="00602978">
      <w:pPr>
        <w:pStyle w:val="Textoindependiente"/>
        <w:rPr>
          <w:rFonts w:ascii="Times New Roman" w:hAnsi="Times New Roman"/>
        </w:rPr>
      </w:pPr>
    </w:p>
    <w:p w14:paraId="527D8078" w14:textId="0428888C" w:rsidR="009E1F1E" w:rsidRPr="00602978" w:rsidRDefault="00602978" w:rsidP="00F86C96">
      <w:pPr>
        <w:pStyle w:val="Textoindependiente"/>
        <w:numPr>
          <w:ilvl w:val="0"/>
          <w:numId w:val="11"/>
        </w:numPr>
        <w:rPr>
          <w:rFonts w:ascii="Times New Roman" w:hAnsi="Times New Roman"/>
        </w:rPr>
      </w:pPr>
      <w:r w:rsidRPr="00602978">
        <w:rPr>
          <w:rFonts w:ascii="Times New Roman" w:hAnsi="Times New Roman"/>
          <w:b/>
        </w:rPr>
        <w:t>I</w:t>
      </w:r>
      <w:r w:rsidR="009E1F1E" w:rsidRPr="009E1F1E">
        <w:rPr>
          <w:rFonts w:ascii="Times New Roman" w:hAnsi="Times New Roman"/>
          <w:b/>
        </w:rPr>
        <w:t xml:space="preserve">mplementación </w:t>
      </w:r>
      <w:r w:rsidR="009B0AAB">
        <w:rPr>
          <w:rFonts w:ascii="Times New Roman" w:hAnsi="Times New Roman"/>
          <w:b/>
        </w:rPr>
        <w:t xml:space="preserve">de </w:t>
      </w:r>
      <w:r w:rsidR="009E1F1E" w:rsidRPr="009E1F1E">
        <w:rPr>
          <w:rFonts w:ascii="Times New Roman" w:hAnsi="Times New Roman"/>
          <w:b/>
        </w:rPr>
        <w:t>acciones asociadas al saneamiento del Río Bogotá</w:t>
      </w:r>
    </w:p>
    <w:p w14:paraId="33B6550F" w14:textId="77777777" w:rsidR="009E1F1E" w:rsidRPr="009E1F1E" w:rsidRDefault="009E1F1E" w:rsidP="009E1F1E">
      <w:pPr>
        <w:pStyle w:val="Textoindependiente"/>
        <w:rPr>
          <w:rFonts w:ascii="Times New Roman" w:hAnsi="Times New Roman"/>
          <w:b/>
        </w:rPr>
      </w:pPr>
    </w:p>
    <w:p w14:paraId="74E9F5A4" w14:textId="421BB5D8" w:rsidR="00B74AFD" w:rsidRPr="004E3B21" w:rsidRDefault="00B74AFD" w:rsidP="00F86C96">
      <w:pPr>
        <w:pStyle w:val="Textoindependiente"/>
        <w:ind w:left="426"/>
        <w:rPr>
          <w:rFonts w:ascii="Times New Roman" w:hAnsi="Times New Roman"/>
        </w:rPr>
      </w:pPr>
      <w:r w:rsidRPr="004E3B21">
        <w:rPr>
          <w:rFonts w:ascii="Times New Roman" w:hAnsi="Times New Roman"/>
        </w:rPr>
        <w:t>Frente a las acciones realizadas para el saneamiento de r</w:t>
      </w:r>
      <w:r w:rsidR="00F647F9">
        <w:rPr>
          <w:rFonts w:ascii="Times New Roman" w:hAnsi="Times New Roman"/>
        </w:rPr>
        <w:t>ío</w:t>
      </w:r>
      <w:r w:rsidRPr="004E3B21">
        <w:rPr>
          <w:rFonts w:ascii="Times New Roman" w:hAnsi="Times New Roman"/>
        </w:rPr>
        <w:t xml:space="preserve"> de Bogotá, s</w:t>
      </w:r>
      <w:r w:rsidR="004E3B21" w:rsidRPr="004E3B21">
        <w:rPr>
          <w:rFonts w:ascii="Times New Roman" w:hAnsi="Times New Roman"/>
        </w:rPr>
        <w:t xml:space="preserve">e </w:t>
      </w:r>
      <w:r w:rsidR="009E1F1E" w:rsidRPr="004E3B21">
        <w:rPr>
          <w:rFonts w:ascii="Times New Roman" w:hAnsi="Times New Roman"/>
        </w:rPr>
        <w:t>contrataron los diseños d</w:t>
      </w:r>
      <w:r w:rsidR="004E3B21" w:rsidRPr="004E3B21">
        <w:rPr>
          <w:rFonts w:ascii="Times New Roman" w:hAnsi="Times New Roman"/>
        </w:rPr>
        <w:t xml:space="preserve">e la Estación Elevadora Canoas, se </w:t>
      </w:r>
      <w:r w:rsidR="004E3B21" w:rsidRPr="004E3B21">
        <w:rPr>
          <w:rFonts w:ascii="Times New Roman" w:eastAsiaTheme="minorHAnsi" w:hAnsi="Times New Roman"/>
          <w:lang w:val="es-CO" w:eastAsia="en-US"/>
        </w:rPr>
        <w:t>contrataron</w:t>
      </w:r>
      <w:r w:rsidRPr="004E3B21">
        <w:rPr>
          <w:rFonts w:ascii="Times New Roman" w:eastAsiaTheme="minorHAnsi" w:hAnsi="Times New Roman"/>
          <w:lang w:val="es-CO" w:eastAsia="en-US"/>
        </w:rPr>
        <w:t xml:space="preserve"> los diseños básicos</w:t>
      </w:r>
      <w:r w:rsidR="004E3B21" w:rsidRPr="004E3B21">
        <w:rPr>
          <w:rFonts w:ascii="Times New Roman" w:eastAsiaTheme="minorHAnsi" w:hAnsi="Times New Roman"/>
          <w:lang w:val="es-CO" w:eastAsia="en-US"/>
        </w:rPr>
        <w:t xml:space="preserve"> d</w:t>
      </w:r>
      <w:r w:rsidR="00F647F9">
        <w:rPr>
          <w:rFonts w:ascii="Times New Roman" w:eastAsiaTheme="minorHAnsi" w:hAnsi="Times New Roman"/>
          <w:lang w:val="es-CO" w:eastAsia="en-US"/>
        </w:rPr>
        <w:t>e</w:t>
      </w:r>
      <w:r w:rsidR="004E3B21" w:rsidRPr="004E3B21">
        <w:rPr>
          <w:rFonts w:ascii="Times New Roman" w:eastAsiaTheme="minorHAnsi" w:hAnsi="Times New Roman"/>
          <w:lang w:val="es-CO" w:eastAsia="en-US"/>
        </w:rPr>
        <w:t xml:space="preserve"> ingeniería para el Proyecto Petar Cano</w:t>
      </w:r>
      <w:r w:rsidR="00F647F9">
        <w:rPr>
          <w:rFonts w:ascii="Times New Roman" w:eastAsiaTheme="minorHAnsi" w:hAnsi="Times New Roman"/>
          <w:lang w:val="es-CO" w:eastAsia="en-US"/>
        </w:rPr>
        <w:t>as</w:t>
      </w:r>
      <w:r w:rsidR="004E3B21" w:rsidRPr="004E3B21">
        <w:rPr>
          <w:rFonts w:ascii="Times New Roman" w:eastAsiaTheme="minorHAnsi" w:hAnsi="Times New Roman"/>
          <w:lang w:val="es-CO" w:eastAsia="en-US"/>
        </w:rPr>
        <w:t xml:space="preserve"> fase I, y </w:t>
      </w:r>
      <w:r w:rsidR="00F647F9">
        <w:rPr>
          <w:rFonts w:ascii="Times New Roman" w:eastAsiaTheme="minorHAnsi" w:hAnsi="Times New Roman"/>
          <w:lang w:val="es-CO" w:eastAsia="en-US"/>
        </w:rPr>
        <w:t>s</w:t>
      </w:r>
      <w:r w:rsidR="004E3B21" w:rsidRPr="004E3B21">
        <w:rPr>
          <w:rFonts w:ascii="Times New Roman" w:eastAsiaTheme="minorHAnsi" w:hAnsi="Times New Roman"/>
          <w:lang w:val="es-CO" w:eastAsia="en-US"/>
        </w:rPr>
        <w:t>e contrató el proyecto</w:t>
      </w:r>
      <w:r w:rsidR="00F647F9">
        <w:rPr>
          <w:rFonts w:ascii="Times New Roman" w:eastAsiaTheme="minorHAnsi" w:hAnsi="Times New Roman"/>
          <w:lang w:val="es-CO" w:eastAsia="en-US"/>
        </w:rPr>
        <w:t xml:space="preserve">: </w:t>
      </w:r>
      <w:r w:rsidR="004E3B21" w:rsidRPr="009B0AAB">
        <w:rPr>
          <w:rFonts w:ascii="Times New Roman" w:eastAsiaTheme="minorHAnsi" w:hAnsi="Times New Roman"/>
          <w:i/>
          <w:lang w:val="es-CO" w:eastAsia="en-US"/>
        </w:rPr>
        <w:t xml:space="preserve">Obras para la conexión de los túneles Interceptor Tunjuelo Canoas -ITC y emergencia - extracción de máquinas </w:t>
      </w:r>
      <w:proofErr w:type="spellStart"/>
      <w:r w:rsidR="004E3B21" w:rsidRPr="009B0AAB">
        <w:rPr>
          <w:rFonts w:ascii="Times New Roman" w:eastAsiaTheme="minorHAnsi" w:hAnsi="Times New Roman"/>
          <w:i/>
          <w:lang w:val="es-CO" w:eastAsia="en-US"/>
        </w:rPr>
        <w:t>Tunnel</w:t>
      </w:r>
      <w:proofErr w:type="spellEnd"/>
      <w:r w:rsidR="004E3B21" w:rsidRPr="009B0AAB">
        <w:rPr>
          <w:rFonts w:ascii="Times New Roman" w:eastAsiaTheme="minorHAnsi" w:hAnsi="Times New Roman"/>
          <w:i/>
          <w:lang w:val="es-CO" w:eastAsia="en-US"/>
        </w:rPr>
        <w:t xml:space="preserve"> </w:t>
      </w:r>
      <w:proofErr w:type="spellStart"/>
      <w:r w:rsidR="004E3B21" w:rsidRPr="009B0AAB">
        <w:rPr>
          <w:rFonts w:ascii="Times New Roman" w:eastAsiaTheme="minorHAnsi" w:hAnsi="Times New Roman"/>
          <w:i/>
          <w:lang w:val="es-CO" w:eastAsia="en-US"/>
        </w:rPr>
        <w:t>Boring</w:t>
      </w:r>
      <w:proofErr w:type="spellEnd"/>
      <w:r w:rsidR="004E3B21" w:rsidRPr="009B0AAB">
        <w:rPr>
          <w:rFonts w:ascii="Times New Roman" w:eastAsiaTheme="minorHAnsi" w:hAnsi="Times New Roman"/>
          <w:i/>
          <w:lang w:val="es-CO" w:eastAsia="en-US"/>
        </w:rPr>
        <w:t xml:space="preserve"> Machine- TBM</w:t>
      </w:r>
      <w:r w:rsidR="00F647F9">
        <w:rPr>
          <w:rFonts w:ascii="Times New Roman" w:eastAsiaTheme="minorHAnsi" w:hAnsi="Times New Roman"/>
          <w:i/>
          <w:lang w:val="es-CO" w:eastAsia="en-US"/>
        </w:rPr>
        <w:t>.</w:t>
      </w:r>
      <w:r w:rsidR="004E3B21" w:rsidRPr="004E3B21">
        <w:rPr>
          <w:rFonts w:ascii="Times New Roman" w:eastAsiaTheme="minorHAnsi" w:hAnsi="Times New Roman"/>
          <w:lang w:val="es-CO" w:eastAsia="en-US"/>
        </w:rPr>
        <w:t xml:space="preserve"> </w:t>
      </w:r>
      <w:r w:rsidR="00F647F9">
        <w:rPr>
          <w:rFonts w:ascii="Times New Roman" w:eastAsiaTheme="minorHAnsi" w:hAnsi="Times New Roman"/>
          <w:lang w:val="es-CO" w:eastAsia="en-US"/>
        </w:rPr>
        <w:t>L</w:t>
      </w:r>
      <w:r w:rsidR="004E3B21" w:rsidRPr="004E3B21">
        <w:rPr>
          <w:rFonts w:ascii="Times New Roman" w:eastAsiaTheme="minorHAnsi" w:hAnsi="Times New Roman"/>
          <w:lang w:val="es-CO" w:eastAsia="en-US"/>
        </w:rPr>
        <w:t>a ejecución de estos contratos inicia en el año 2017.</w:t>
      </w:r>
    </w:p>
    <w:p w14:paraId="4E818293" w14:textId="77777777" w:rsidR="00452030" w:rsidRDefault="00452030" w:rsidP="00452030">
      <w:pPr>
        <w:pStyle w:val="Textoindependiente"/>
        <w:rPr>
          <w:rFonts w:ascii="Times New Roman" w:hAnsi="Times New Roman"/>
        </w:rPr>
      </w:pPr>
    </w:p>
    <w:p w14:paraId="597B0DC1" w14:textId="190FB3AD" w:rsidR="009E1F1E" w:rsidRPr="00452030" w:rsidRDefault="009E1F1E" w:rsidP="00F86C96">
      <w:pPr>
        <w:pStyle w:val="Textoindependiente"/>
        <w:numPr>
          <w:ilvl w:val="0"/>
          <w:numId w:val="11"/>
        </w:numPr>
        <w:rPr>
          <w:rFonts w:ascii="Times New Roman" w:hAnsi="Times New Roman"/>
        </w:rPr>
      </w:pPr>
      <w:r w:rsidRPr="009E1F1E">
        <w:rPr>
          <w:rFonts w:ascii="Times New Roman" w:hAnsi="Times New Roman"/>
          <w:b/>
        </w:rPr>
        <w:t xml:space="preserve">Adecuación </w:t>
      </w:r>
      <w:r w:rsidR="009B0AAB">
        <w:rPr>
          <w:rFonts w:ascii="Times New Roman" w:hAnsi="Times New Roman"/>
          <w:b/>
        </w:rPr>
        <w:t xml:space="preserve">de </w:t>
      </w:r>
      <w:r w:rsidRPr="009E1F1E">
        <w:rPr>
          <w:rFonts w:ascii="Times New Roman" w:hAnsi="Times New Roman"/>
          <w:b/>
        </w:rPr>
        <w:t>las redes de acueducto y alcantarillado asociadas a la infraestructura para la construcción del metro.</w:t>
      </w:r>
    </w:p>
    <w:p w14:paraId="60CB8279" w14:textId="77777777" w:rsidR="009E1F1E" w:rsidRPr="009E1F1E" w:rsidRDefault="009E1F1E" w:rsidP="009E1F1E">
      <w:pPr>
        <w:pStyle w:val="Textoindependiente"/>
        <w:rPr>
          <w:rFonts w:ascii="Times New Roman" w:hAnsi="Times New Roman"/>
          <w:b/>
        </w:rPr>
      </w:pPr>
    </w:p>
    <w:p w14:paraId="7A59423B" w14:textId="46FF6120" w:rsidR="00452030" w:rsidRPr="00452030" w:rsidRDefault="009E1F1E" w:rsidP="00F86C96">
      <w:pPr>
        <w:pStyle w:val="Textoindependiente"/>
        <w:ind w:left="426"/>
        <w:rPr>
          <w:rFonts w:ascii="Times New Roman" w:eastAsiaTheme="minorHAnsi" w:hAnsi="Times New Roman"/>
          <w:lang w:val="es-CO" w:eastAsia="en-US"/>
        </w:rPr>
      </w:pPr>
      <w:r w:rsidRPr="00452030">
        <w:rPr>
          <w:rFonts w:ascii="Times New Roman" w:hAnsi="Times New Roman"/>
        </w:rPr>
        <w:t>Se contrataron las consultorías para ejecutar los diseños detallados de traslados de las “Redes de Acueducto asociada a la infraestructura vial: Metro - Transmilenio y otros” y “Redes de Alcantarillado asociada a la infraestructura vial: Metro - T</w:t>
      </w:r>
      <w:r w:rsidR="00452030" w:rsidRPr="00452030">
        <w:rPr>
          <w:rFonts w:ascii="Times New Roman" w:hAnsi="Times New Roman"/>
        </w:rPr>
        <w:t>ransmilenio y otros”</w:t>
      </w:r>
      <w:r w:rsidR="00B9139A">
        <w:rPr>
          <w:rFonts w:ascii="Times New Roman" w:hAnsi="Times New Roman"/>
        </w:rPr>
        <w:t>.</w:t>
      </w:r>
      <w:r w:rsidR="00452030" w:rsidRPr="00452030">
        <w:rPr>
          <w:rFonts w:ascii="Times New Roman" w:eastAsiaTheme="minorHAnsi" w:hAnsi="Times New Roman"/>
          <w:lang w:val="es-CO" w:eastAsia="en-US"/>
        </w:rPr>
        <w:t xml:space="preserve"> </w:t>
      </w:r>
      <w:r w:rsidR="00B9139A">
        <w:rPr>
          <w:rFonts w:ascii="Times New Roman" w:eastAsiaTheme="minorHAnsi" w:hAnsi="Times New Roman"/>
          <w:lang w:val="es-CO" w:eastAsia="en-US"/>
        </w:rPr>
        <w:t>E</w:t>
      </w:r>
      <w:r w:rsidR="00452030" w:rsidRPr="00452030">
        <w:rPr>
          <w:rFonts w:ascii="Times New Roman" w:eastAsiaTheme="minorHAnsi" w:hAnsi="Times New Roman"/>
          <w:lang w:val="es-CO" w:eastAsia="en-US"/>
        </w:rPr>
        <w:t>n el mes de diciembre los consultores se encuentran en proceso de legalización y cumplimiento de actividades precontractuales para dar inicio, se prevé in</w:t>
      </w:r>
      <w:r w:rsidR="00B9139A">
        <w:rPr>
          <w:rFonts w:ascii="Times New Roman" w:eastAsiaTheme="minorHAnsi" w:hAnsi="Times New Roman"/>
          <w:lang w:val="es-CO" w:eastAsia="en-US"/>
        </w:rPr>
        <w:t>icia</w:t>
      </w:r>
      <w:r w:rsidR="00452030" w:rsidRPr="00452030">
        <w:rPr>
          <w:rFonts w:ascii="Times New Roman" w:eastAsiaTheme="minorHAnsi" w:hAnsi="Times New Roman"/>
          <w:lang w:val="es-CO" w:eastAsia="en-US"/>
        </w:rPr>
        <w:t>r en febrero</w:t>
      </w:r>
      <w:r w:rsidR="00B9139A">
        <w:rPr>
          <w:rFonts w:ascii="Times New Roman" w:eastAsiaTheme="minorHAnsi" w:hAnsi="Times New Roman"/>
          <w:lang w:val="es-CO" w:eastAsia="en-US"/>
        </w:rPr>
        <w:t xml:space="preserve"> de 20</w:t>
      </w:r>
      <w:r w:rsidR="00452030" w:rsidRPr="00452030">
        <w:rPr>
          <w:rFonts w:ascii="Times New Roman" w:eastAsiaTheme="minorHAnsi" w:hAnsi="Times New Roman"/>
          <w:lang w:val="es-CO" w:eastAsia="en-US"/>
        </w:rPr>
        <w:t>17</w:t>
      </w:r>
      <w:r w:rsidR="00B9139A">
        <w:rPr>
          <w:rFonts w:ascii="Times New Roman" w:eastAsiaTheme="minorHAnsi" w:hAnsi="Times New Roman"/>
          <w:lang w:val="es-CO" w:eastAsia="en-US"/>
        </w:rPr>
        <w:t>.</w:t>
      </w:r>
    </w:p>
    <w:p w14:paraId="4D4ECF50" w14:textId="77777777" w:rsidR="009E1F1E" w:rsidRPr="009E1F1E" w:rsidRDefault="009E1F1E" w:rsidP="00F86C96">
      <w:pPr>
        <w:pStyle w:val="Textoindependiente"/>
        <w:ind w:left="426"/>
        <w:rPr>
          <w:rFonts w:ascii="Times New Roman" w:hAnsi="Times New Roman"/>
        </w:rPr>
      </w:pPr>
    </w:p>
    <w:p w14:paraId="63740FE5" w14:textId="77777777" w:rsidR="009E1F1E" w:rsidRPr="009E1F1E" w:rsidRDefault="009E1F1E" w:rsidP="00F86C96">
      <w:pPr>
        <w:pStyle w:val="Textoindependiente"/>
        <w:ind w:left="426"/>
        <w:rPr>
          <w:rFonts w:ascii="Times New Roman" w:hAnsi="Times New Roman"/>
        </w:rPr>
      </w:pPr>
      <w:r w:rsidRPr="009E1F1E">
        <w:rPr>
          <w:rFonts w:ascii="Times New Roman" w:hAnsi="Times New Roman"/>
        </w:rPr>
        <w:t xml:space="preserve">Actualmente el Instituto de Desarrollo Urbano (IDU) y la Gerencia del Proyecto Metro (GPM) se encuentran realizando las actividades de modificación del diseño y posterior licitación pública del nuevo Proyecto Metro; el IDU y la GPM le han informado a la EAB sobre la necesidad de tener despejado el corredor del Metro, para cuando se inicien las obras del mismo. </w:t>
      </w:r>
    </w:p>
    <w:p w14:paraId="7692AA3E" w14:textId="77777777" w:rsidR="00AF2BD8" w:rsidRDefault="00AF2BD8" w:rsidP="00AF2BD8">
      <w:pPr>
        <w:pStyle w:val="Textoindependiente"/>
        <w:rPr>
          <w:rFonts w:ascii="Times New Roman" w:hAnsi="Times New Roman"/>
        </w:rPr>
      </w:pPr>
    </w:p>
    <w:p w14:paraId="7399F57F" w14:textId="6DD7DFE7" w:rsidR="009E1F1E" w:rsidRPr="00AF2BD8" w:rsidRDefault="009B0AAB" w:rsidP="00F86C96">
      <w:pPr>
        <w:pStyle w:val="Textoindependiente"/>
        <w:numPr>
          <w:ilvl w:val="0"/>
          <w:numId w:val="11"/>
        </w:numPr>
        <w:rPr>
          <w:rFonts w:ascii="Times New Roman" w:hAnsi="Times New Roman"/>
        </w:rPr>
      </w:pPr>
      <w:r>
        <w:rPr>
          <w:rFonts w:ascii="Times New Roman" w:hAnsi="Times New Roman"/>
          <w:b/>
        </w:rPr>
        <w:t xml:space="preserve">Construcción de </w:t>
      </w:r>
      <w:r w:rsidR="009E1F1E" w:rsidRPr="009E1F1E">
        <w:rPr>
          <w:rFonts w:ascii="Times New Roman" w:hAnsi="Times New Roman"/>
          <w:b/>
        </w:rPr>
        <w:t>parques lineales para recuperar el sistema hídrico en ríos, quebradas, humedales y/o embalses</w:t>
      </w:r>
    </w:p>
    <w:p w14:paraId="746BF568" w14:textId="77777777" w:rsidR="009E1F1E" w:rsidRPr="009E1F1E" w:rsidRDefault="009E1F1E" w:rsidP="009E1F1E">
      <w:pPr>
        <w:pStyle w:val="Textoindependiente"/>
        <w:rPr>
          <w:rFonts w:ascii="Times New Roman" w:hAnsi="Times New Roman"/>
        </w:rPr>
      </w:pPr>
    </w:p>
    <w:p w14:paraId="37E3A038" w14:textId="631010D7" w:rsidR="00A159D7" w:rsidRDefault="009E1F1E" w:rsidP="00F86C96">
      <w:pPr>
        <w:pStyle w:val="Textoindependiente"/>
        <w:ind w:left="426"/>
        <w:rPr>
          <w:rFonts w:ascii="Times New Roman" w:eastAsiaTheme="minorHAnsi" w:hAnsi="Times New Roman"/>
          <w:lang w:val="es-CO" w:eastAsia="en-US"/>
        </w:rPr>
      </w:pPr>
      <w:r w:rsidRPr="009E1F1E">
        <w:rPr>
          <w:rFonts w:ascii="Times New Roman" w:hAnsi="Times New Roman"/>
        </w:rPr>
        <w:t>La meta planteada por la EAB para el cuatrienio es la fin</w:t>
      </w:r>
      <w:r w:rsidR="00166EFB">
        <w:rPr>
          <w:rFonts w:ascii="Times New Roman" w:hAnsi="Times New Roman"/>
        </w:rPr>
        <w:t>alización de 3 parques lineales (</w:t>
      </w:r>
      <w:r w:rsidR="00D17AB0">
        <w:rPr>
          <w:rFonts w:ascii="Times New Roman" w:hAnsi="Times New Roman"/>
        </w:rPr>
        <w:t xml:space="preserve">Parque lineal Tunjuelo, </w:t>
      </w:r>
      <w:r w:rsidR="00166EFB" w:rsidRPr="0063190D">
        <w:rPr>
          <w:rFonts w:ascii="Times New Roman" w:eastAsiaTheme="minorHAnsi" w:hAnsi="Times New Roman"/>
          <w:lang w:val="es-CO" w:eastAsia="en-US"/>
        </w:rPr>
        <w:t>Parque Regi</w:t>
      </w:r>
      <w:r w:rsidR="00166EFB">
        <w:rPr>
          <w:rFonts w:ascii="Times New Roman" w:eastAsiaTheme="minorHAnsi" w:hAnsi="Times New Roman"/>
          <w:lang w:val="es-CO" w:eastAsia="en-US"/>
        </w:rPr>
        <w:t xml:space="preserve">onal El Rocío - fase I y II y </w:t>
      </w:r>
      <w:r w:rsidR="00166EFB" w:rsidRPr="0063190D">
        <w:rPr>
          <w:rFonts w:ascii="Times New Roman" w:eastAsiaTheme="minorHAnsi" w:hAnsi="Times New Roman"/>
          <w:lang w:val="es-CO" w:eastAsia="en-US"/>
        </w:rPr>
        <w:t>Parque Lineal R</w:t>
      </w:r>
      <w:r w:rsidR="00B9139A">
        <w:rPr>
          <w:rFonts w:ascii="Times New Roman" w:eastAsiaTheme="minorHAnsi" w:hAnsi="Times New Roman"/>
          <w:lang w:val="es-CO" w:eastAsia="en-US"/>
        </w:rPr>
        <w:t>í</w:t>
      </w:r>
      <w:r w:rsidR="00166EFB" w:rsidRPr="0063190D">
        <w:rPr>
          <w:rFonts w:ascii="Times New Roman" w:eastAsiaTheme="minorHAnsi" w:hAnsi="Times New Roman"/>
          <w:lang w:val="es-CO" w:eastAsia="en-US"/>
        </w:rPr>
        <w:t>o Fucha</w:t>
      </w:r>
      <w:r w:rsidR="00166EFB">
        <w:rPr>
          <w:rFonts w:ascii="Times New Roman" w:eastAsiaTheme="minorHAnsi" w:hAnsi="Times New Roman"/>
          <w:lang w:val="es-CO" w:eastAsia="en-US"/>
        </w:rPr>
        <w:t xml:space="preserve">)  </w:t>
      </w:r>
      <w:r w:rsidRPr="009E1F1E">
        <w:rPr>
          <w:rFonts w:ascii="Times New Roman" w:hAnsi="Times New Roman"/>
        </w:rPr>
        <w:t>y el avance del 67,5% en otros parques.</w:t>
      </w:r>
      <w:r w:rsidR="00B9139A">
        <w:rPr>
          <w:rFonts w:ascii="Times New Roman" w:hAnsi="Times New Roman"/>
        </w:rPr>
        <w:t xml:space="preserve"> En este sentido</w:t>
      </w:r>
      <w:r w:rsidR="00B9139A">
        <w:rPr>
          <w:rFonts w:ascii="Times New Roman" w:eastAsiaTheme="minorHAnsi" w:hAnsi="Times New Roman"/>
          <w:lang w:val="es-CO" w:eastAsia="en-US"/>
        </w:rPr>
        <w:t>, s</w:t>
      </w:r>
      <w:r w:rsidR="0063190D" w:rsidRPr="0063190D">
        <w:rPr>
          <w:rFonts w:ascii="Times New Roman" w:eastAsiaTheme="minorHAnsi" w:hAnsi="Times New Roman"/>
          <w:lang w:val="es-CO" w:eastAsia="en-US"/>
        </w:rPr>
        <w:t xml:space="preserve">e adjudicó el contrato de los diseños detallados del parque lineal Tunjuelo - </w:t>
      </w:r>
      <w:proofErr w:type="spellStart"/>
      <w:r w:rsidR="0063190D" w:rsidRPr="0063190D">
        <w:rPr>
          <w:rFonts w:ascii="Times New Roman" w:eastAsiaTheme="minorHAnsi" w:hAnsi="Times New Roman"/>
          <w:lang w:val="es-CO" w:eastAsia="en-US"/>
        </w:rPr>
        <w:t>Chiguaza</w:t>
      </w:r>
      <w:proofErr w:type="spellEnd"/>
      <w:r w:rsidR="0063190D" w:rsidRPr="0063190D">
        <w:rPr>
          <w:rFonts w:ascii="Times New Roman" w:eastAsiaTheme="minorHAnsi" w:hAnsi="Times New Roman"/>
          <w:lang w:val="es-CO" w:eastAsia="en-US"/>
        </w:rPr>
        <w:t xml:space="preserve"> con su correspondiente interventoría, la cual se encuentra en ejecución.</w:t>
      </w:r>
      <w:r w:rsidR="00A159D7">
        <w:rPr>
          <w:rFonts w:ascii="Times New Roman" w:eastAsiaTheme="minorHAnsi" w:hAnsi="Times New Roman"/>
          <w:lang w:val="es-CO" w:eastAsia="en-US"/>
        </w:rPr>
        <w:t xml:space="preserve"> </w:t>
      </w:r>
      <w:r w:rsidR="0063190D" w:rsidRPr="0063190D">
        <w:rPr>
          <w:rFonts w:ascii="Times New Roman" w:eastAsiaTheme="minorHAnsi" w:hAnsi="Times New Roman"/>
          <w:lang w:val="es-CO" w:eastAsia="en-US"/>
        </w:rPr>
        <w:t xml:space="preserve">Para el Parque Regional El Rocío (San Rafael) se contrató </w:t>
      </w:r>
      <w:r w:rsidR="00B9139A">
        <w:rPr>
          <w:rFonts w:ascii="Times New Roman" w:eastAsiaTheme="minorHAnsi" w:hAnsi="Times New Roman"/>
          <w:lang w:val="es-CO" w:eastAsia="en-US"/>
        </w:rPr>
        <w:t>la fase</w:t>
      </w:r>
      <w:r w:rsidR="00B9139A" w:rsidRPr="0063190D">
        <w:rPr>
          <w:rFonts w:ascii="Times New Roman" w:eastAsiaTheme="minorHAnsi" w:hAnsi="Times New Roman"/>
          <w:lang w:val="es-CO" w:eastAsia="en-US"/>
        </w:rPr>
        <w:t xml:space="preserve"> </w:t>
      </w:r>
      <w:r w:rsidR="0063190D" w:rsidRPr="0063190D">
        <w:rPr>
          <w:rFonts w:ascii="Times New Roman" w:eastAsiaTheme="minorHAnsi" w:hAnsi="Times New Roman"/>
          <w:lang w:val="es-CO" w:eastAsia="en-US"/>
        </w:rPr>
        <w:t>1 de la consultoría para la elaboración del modelo de operación</w:t>
      </w:r>
      <w:r w:rsidR="00A159D7">
        <w:rPr>
          <w:rFonts w:ascii="Times New Roman" w:eastAsiaTheme="minorHAnsi" w:hAnsi="Times New Roman"/>
          <w:lang w:val="es-CO" w:eastAsia="en-US"/>
        </w:rPr>
        <w:t xml:space="preserve"> y la construcción de la visión y estrategia de desarrollo</w:t>
      </w:r>
      <w:r w:rsidR="0063190D" w:rsidRPr="0063190D">
        <w:rPr>
          <w:rFonts w:ascii="Times New Roman" w:eastAsiaTheme="minorHAnsi" w:hAnsi="Times New Roman"/>
          <w:lang w:val="es-CO" w:eastAsia="en-US"/>
        </w:rPr>
        <w:t xml:space="preserve"> para el uso público del proyect</w:t>
      </w:r>
      <w:r w:rsidR="00A159D7">
        <w:rPr>
          <w:rFonts w:ascii="Times New Roman" w:eastAsiaTheme="minorHAnsi" w:hAnsi="Times New Roman"/>
          <w:lang w:val="es-CO" w:eastAsia="en-US"/>
        </w:rPr>
        <w:t>o, así mismo se contrató la</w:t>
      </w:r>
      <w:r w:rsidR="0063190D" w:rsidRPr="0063190D">
        <w:rPr>
          <w:rFonts w:ascii="Times New Roman" w:eastAsiaTheme="minorHAnsi" w:hAnsi="Times New Roman"/>
          <w:lang w:val="es-CO" w:eastAsia="en-US"/>
        </w:rPr>
        <w:t xml:space="preserve"> adecuación y obras complementarias.</w:t>
      </w:r>
      <w:r w:rsidR="00A159D7">
        <w:rPr>
          <w:rFonts w:ascii="Times New Roman" w:eastAsiaTheme="minorHAnsi" w:hAnsi="Times New Roman"/>
          <w:lang w:val="es-CO" w:eastAsia="en-US"/>
        </w:rPr>
        <w:t xml:space="preserve"> Y p</w:t>
      </w:r>
      <w:r w:rsidR="0063190D" w:rsidRPr="0063190D">
        <w:rPr>
          <w:rFonts w:ascii="Times New Roman" w:eastAsiaTheme="minorHAnsi" w:hAnsi="Times New Roman"/>
          <w:lang w:val="es-CO" w:eastAsia="en-US"/>
        </w:rPr>
        <w:t>ara el Parque Lineal Rio Fucha se contrató actualización y formulación del planteamiento general del Corredor Ambiental del Río Fucha.</w:t>
      </w:r>
      <w:r w:rsidR="00A159D7">
        <w:rPr>
          <w:rFonts w:ascii="Times New Roman" w:eastAsiaTheme="minorHAnsi" w:hAnsi="Times New Roman"/>
          <w:lang w:val="es-CO" w:eastAsia="en-US"/>
        </w:rPr>
        <w:t xml:space="preserve"> </w:t>
      </w:r>
    </w:p>
    <w:p w14:paraId="69171464" w14:textId="77777777" w:rsidR="00A159D7" w:rsidRDefault="00A159D7" w:rsidP="00F86C96">
      <w:pPr>
        <w:pStyle w:val="Textoindependiente"/>
        <w:ind w:left="426"/>
        <w:rPr>
          <w:rFonts w:ascii="Times New Roman" w:eastAsiaTheme="minorHAnsi" w:hAnsi="Times New Roman"/>
          <w:lang w:val="es-CO" w:eastAsia="en-US"/>
        </w:rPr>
      </w:pPr>
    </w:p>
    <w:p w14:paraId="41A37E49" w14:textId="64EC1E4A" w:rsidR="0063190D" w:rsidRPr="00166EFB" w:rsidRDefault="00A159D7" w:rsidP="00F86C96">
      <w:pPr>
        <w:pStyle w:val="Textoindependiente"/>
        <w:ind w:left="426"/>
        <w:rPr>
          <w:rFonts w:ascii="Times New Roman" w:hAnsi="Times New Roman"/>
        </w:rPr>
      </w:pPr>
      <w:r>
        <w:rPr>
          <w:rFonts w:ascii="Times New Roman" w:eastAsiaTheme="minorHAnsi" w:hAnsi="Times New Roman"/>
          <w:lang w:val="es-CO" w:eastAsia="en-US"/>
        </w:rPr>
        <w:t>Adicionalmente</w:t>
      </w:r>
      <w:r>
        <w:rPr>
          <w:rFonts w:ascii="Times New Roman" w:hAnsi="Times New Roman"/>
        </w:rPr>
        <w:t xml:space="preserve"> s</w:t>
      </w:r>
      <w:r w:rsidR="00452DF7" w:rsidRPr="00452DF7">
        <w:rPr>
          <w:rFonts w:ascii="Times New Roman" w:hAnsi="Times New Roman"/>
        </w:rPr>
        <w:t xml:space="preserve">e </w:t>
      </w:r>
      <w:r w:rsidR="00452DF7">
        <w:rPr>
          <w:rFonts w:ascii="Times New Roman" w:hAnsi="Times New Roman"/>
        </w:rPr>
        <w:t xml:space="preserve">inició </w:t>
      </w:r>
      <w:r w:rsidR="00452DF7" w:rsidRPr="00452DF7">
        <w:rPr>
          <w:rFonts w:ascii="Times New Roman" w:hAnsi="Times New Roman"/>
        </w:rPr>
        <w:t xml:space="preserve">el componente social de diseños en los proyectos Parque Lineal Tunjuelo - </w:t>
      </w:r>
      <w:proofErr w:type="spellStart"/>
      <w:r w:rsidR="00452DF7" w:rsidRPr="00452DF7">
        <w:rPr>
          <w:rFonts w:ascii="Times New Roman" w:hAnsi="Times New Roman"/>
        </w:rPr>
        <w:t>Chiguaza</w:t>
      </w:r>
      <w:proofErr w:type="spellEnd"/>
      <w:r w:rsidR="00452DF7" w:rsidRPr="00452DF7">
        <w:rPr>
          <w:rFonts w:ascii="Times New Roman" w:hAnsi="Times New Roman"/>
        </w:rPr>
        <w:t xml:space="preserve">, Parque Lineal Fucha, Parque Lineal Borde Norte Humedal Juan Amarillo y  Parque Lineal Humedal </w:t>
      </w:r>
      <w:proofErr w:type="spellStart"/>
      <w:r w:rsidR="00452DF7" w:rsidRPr="00452DF7">
        <w:rPr>
          <w:rFonts w:ascii="Times New Roman" w:hAnsi="Times New Roman"/>
        </w:rPr>
        <w:t>Jaboque</w:t>
      </w:r>
      <w:proofErr w:type="spellEnd"/>
      <w:r w:rsidR="00452DF7" w:rsidRPr="00452DF7">
        <w:rPr>
          <w:rFonts w:ascii="Times New Roman" w:hAnsi="Times New Roman"/>
        </w:rPr>
        <w:t>.</w:t>
      </w:r>
      <w:r>
        <w:rPr>
          <w:rFonts w:ascii="Times New Roman" w:hAnsi="Times New Roman"/>
        </w:rPr>
        <w:t xml:space="preserve"> Finalmente s</w:t>
      </w:r>
      <w:r w:rsidR="009E1F1E" w:rsidRPr="009E1F1E">
        <w:rPr>
          <w:rFonts w:ascii="Times New Roman" w:hAnsi="Times New Roman"/>
        </w:rPr>
        <w:t>e suscribió el convenio 001 de 2016 Con el IDIGER, SDA y EAB para realizar los diseños del Sendero de los Cerros Orientales de Bogotá.</w:t>
      </w:r>
    </w:p>
    <w:p w14:paraId="383084F8" w14:textId="77777777" w:rsidR="0063190D" w:rsidRDefault="0063190D" w:rsidP="009E1F1E">
      <w:pPr>
        <w:pStyle w:val="Textoindependiente"/>
        <w:rPr>
          <w:rFonts w:ascii="Times New Roman" w:hAnsi="Times New Roman"/>
          <w:b/>
        </w:rPr>
      </w:pPr>
    </w:p>
    <w:p w14:paraId="304A69B9" w14:textId="77777777" w:rsidR="00A55F1A" w:rsidRDefault="00A55F1A" w:rsidP="009E1F1E">
      <w:pPr>
        <w:pStyle w:val="Textoindependiente"/>
        <w:rPr>
          <w:rFonts w:ascii="Times New Roman" w:hAnsi="Times New Roman"/>
          <w:b/>
        </w:rPr>
      </w:pPr>
    </w:p>
    <w:p w14:paraId="31C6A551" w14:textId="77777777" w:rsidR="00A55F1A" w:rsidRDefault="00A55F1A" w:rsidP="009E1F1E">
      <w:pPr>
        <w:pStyle w:val="Textoindependiente"/>
        <w:rPr>
          <w:rFonts w:ascii="Times New Roman" w:hAnsi="Times New Roman"/>
          <w:b/>
        </w:rPr>
      </w:pPr>
    </w:p>
    <w:p w14:paraId="3869FEC1" w14:textId="77777777" w:rsidR="00C97E11" w:rsidRPr="00C97E11" w:rsidRDefault="00C97E11" w:rsidP="00F86C96">
      <w:pPr>
        <w:pStyle w:val="Textoindependiente"/>
        <w:numPr>
          <w:ilvl w:val="0"/>
          <w:numId w:val="11"/>
        </w:numPr>
        <w:rPr>
          <w:rFonts w:ascii="Times New Roman" w:hAnsi="Times New Roman"/>
          <w:b/>
        </w:rPr>
      </w:pPr>
      <w:r w:rsidRPr="00C97E11">
        <w:rPr>
          <w:rFonts w:ascii="Times New Roman" w:hAnsi="Times New Roman"/>
          <w:b/>
        </w:rPr>
        <w:lastRenderedPageBreak/>
        <w:t>Reducción de residuos sólidos generados en la ciudad producto de separación en la fuente</w:t>
      </w:r>
    </w:p>
    <w:p w14:paraId="555EF1BA" w14:textId="77777777" w:rsidR="00C97E11" w:rsidRPr="00C97E11" w:rsidRDefault="00C97E11" w:rsidP="00C97E11">
      <w:pPr>
        <w:pStyle w:val="Textoindependiente"/>
        <w:rPr>
          <w:rFonts w:ascii="Times New Roman" w:hAnsi="Times New Roman"/>
        </w:rPr>
      </w:pPr>
    </w:p>
    <w:p w14:paraId="366C4E94" w14:textId="5152DE71" w:rsidR="00C97E11" w:rsidRPr="00C97E11" w:rsidRDefault="00A159D7" w:rsidP="008E5B73">
      <w:pPr>
        <w:pStyle w:val="Textoindependiente"/>
        <w:ind w:left="426"/>
        <w:rPr>
          <w:rFonts w:ascii="Times New Roman" w:hAnsi="Times New Roman"/>
        </w:rPr>
      </w:pPr>
      <w:r>
        <w:rPr>
          <w:rFonts w:ascii="Times New Roman" w:hAnsi="Times New Roman"/>
        </w:rPr>
        <w:t>En materia de disposición final, s</w:t>
      </w:r>
      <w:r w:rsidR="00C97E11">
        <w:rPr>
          <w:rFonts w:ascii="Times New Roman" w:hAnsi="Times New Roman"/>
        </w:rPr>
        <w:t xml:space="preserve">e logró </w:t>
      </w:r>
      <w:r w:rsidR="00C97E11" w:rsidRPr="00C97E11">
        <w:rPr>
          <w:rFonts w:ascii="Times New Roman" w:hAnsi="Times New Roman"/>
        </w:rPr>
        <w:t xml:space="preserve">un promedio mensual </w:t>
      </w:r>
      <w:r w:rsidR="00C97E11">
        <w:rPr>
          <w:rFonts w:ascii="Times New Roman" w:hAnsi="Times New Roman"/>
        </w:rPr>
        <w:t xml:space="preserve">de disposición </w:t>
      </w:r>
      <w:r w:rsidR="00C97E11" w:rsidRPr="00C97E11">
        <w:rPr>
          <w:rFonts w:ascii="Times New Roman" w:hAnsi="Times New Roman"/>
        </w:rPr>
        <w:t>de 174.603,</w:t>
      </w:r>
      <w:r w:rsidR="00A47505">
        <w:rPr>
          <w:rFonts w:ascii="Times New Roman" w:hAnsi="Times New Roman"/>
        </w:rPr>
        <w:t>64 t</w:t>
      </w:r>
      <w:r w:rsidR="00C97E11" w:rsidRPr="00C97E11">
        <w:rPr>
          <w:rFonts w:ascii="Times New Roman" w:hAnsi="Times New Roman"/>
        </w:rPr>
        <w:t>oneladas de residuos generados por el Distrito Capital, garantizando continuamente la prestación del servicio de disposición f</w:t>
      </w:r>
      <w:r w:rsidR="00C97E11">
        <w:rPr>
          <w:rFonts w:ascii="Times New Roman" w:hAnsi="Times New Roman"/>
        </w:rPr>
        <w:t xml:space="preserve">inal </w:t>
      </w:r>
      <w:r w:rsidR="00C97E11" w:rsidRPr="00C97E11">
        <w:rPr>
          <w:rFonts w:ascii="Times New Roman" w:hAnsi="Times New Roman"/>
        </w:rPr>
        <w:t xml:space="preserve">de </w:t>
      </w:r>
      <w:r w:rsidR="00C97E11">
        <w:rPr>
          <w:rFonts w:ascii="Times New Roman" w:hAnsi="Times New Roman"/>
        </w:rPr>
        <w:t>forma adecuada y</w:t>
      </w:r>
      <w:r w:rsidR="00C97E11" w:rsidRPr="00C97E11">
        <w:rPr>
          <w:rFonts w:ascii="Times New Roman" w:hAnsi="Times New Roman"/>
        </w:rPr>
        <w:t xml:space="preserve"> disponiendo el 100% de los residuos sólidos urbanos que ingresan al Relleno Sanitario Doña Juana</w:t>
      </w:r>
      <w:r w:rsidR="00C97E11">
        <w:rPr>
          <w:rFonts w:ascii="Times New Roman" w:hAnsi="Times New Roman"/>
        </w:rPr>
        <w:t>, alcanzando una d</w:t>
      </w:r>
      <w:r w:rsidR="00C97E11" w:rsidRPr="00C97E11">
        <w:rPr>
          <w:rFonts w:ascii="Times New Roman" w:hAnsi="Times New Roman"/>
        </w:rPr>
        <w:t>isminución de 1.346,58 toneladas de</w:t>
      </w:r>
      <w:r w:rsidR="00C97E11">
        <w:rPr>
          <w:rFonts w:ascii="Times New Roman" w:hAnsi="Times New Roman"/>
        </w:rPr>
        <w:t xml:space="preserve"> </w:t>
      </w:r>
      <w:r w:rsidR="00C97E11" w:rsidRPr="00C97E11">
        <w:rPr>
          <w:rFonts w:ascii="Times New Roman" w:hAnsi="Times New Roman"/>
        </w:rPr>
        <w:t>residuos sólidos</w:t>
      </w:r>
      <w:r w:rsidR="00C97E11">
        <w:rPr>
          <w:rFonts w:ascii="Times New Roman" w:hAnsi="Times New Roman"/>
        </w:rPr>
        <w:t xml:space="preserve">. </w:t>
      </w:r>
      <w:r w:rsidR="00792C6D">
        <w:rPr>
          <w:rFonts w:ascii="Times New Roman" w:hAnsi="Times New Roman"/>
        </w:rPr>
        <w:t xml:space="preserve">También se recolectaron </w:t>
      </w:r>
      <w:r w:rsidR="00792C6D" w:rsidRPr="00C97E11">
        <w:rPr>
          <w:rFonts w:ascii="Times New Roman" w:hAnsi="Times New Roman"/>
        </w:rPr>
        <w:t xml:space="preserve"> 122 toneladas de residuos en proximidad a las curtiembres en Tunjuelito</w:t>
      </w:r>
      <w:r w:rsidR="00792C6D">
        <w:rPr>
          <w:rFonts w:ascii="Times New Roman" w:hAnsi="Times New Roman"/>
        </w:rPr>
        <w:t>, lo que ayuda a</w:t>
      </w:r>
      <w:r w:rsidR="00792C6D" w:rsidRPr="00C97E11">
        <w:rPr>
          <w:rFonts w:ascii="Times New Roman" w:hAnsi="Times New Roman"/>
        </w:rPr>
        <w:t xml:space="preserve"> la problemática de residuos con riesgo de peligrosidad</w:t>
      </w:r>
      <w:r w:rsidR="00792C6D">
        <w:rPr>
          <w:rFonts w:ascii="Times New Roman" w:hAnsi="Times New Roman"/>
        </w:rPr>
        <w:t>.</w:t>
      </w:r>
    </w:p>
    <w:p w14:paraId="5955C9E7" w14:textId="77777777" w:rsidR="00C97E11" w:rsidRDefault="00C97E11" w:rsidP="008E5B73">
      <w:pPr>
        <w:autoSpaceDE w:val="0"/>
        <w:autoSpaceDN w:val="0"/>
        <w:adjustRightInd w:val="0"/>
        <w:ind w:left="426"/>
        <w:rPr>
          <w:rFonts w:ascii="Times New Roman" w:eastAsiaTheme="minorHAnsi" w:hAnsi="Times New Roman"/>
          <w:sz w:val="24"/>
          <w:szCs w:val="24"/>
          <w:lang w:val="es-CO" w:eastAsia="en-US"/>
        </w:rPr>
      </w:pPr>
    </w:p>
    <w:p w14:paraId="77C390CB" w14:textId="084F80A3" w:rsidR="00C97E11" w:rsidRPr="00C97E11" w:rsidRDefault="00A159D7" w:rsidP="008E5B73">
      <w:pPr>
        <w:autoSpaceDE w:val="0"/>
        <w:autoSpaceDN w:val="0"/>
        <w:adjustRightInd w:val="0"/>
        <w:ind w:left="426"/>
        <w:rPr>
          <w:rFonts w:ascii="Times New Roman" w:eastAsiaTheme="minorHAnsi" w:hAnsi="Times New Roman"/>
          <w:sz w:val="24"/>
          <w:szCs w:val="24"/>
          <w:lang w:val="es-CO" w:eastAsia="en-US"/>
        </w:rPr>
      </w:pPr>
      <w:r>
        <w:rPr>
          <w:rFonts w:ascii="Times New Roman" w:eastAsiaTheme="minorHAnsi" w:hAnsi="Times New Roman"/>
          <w:sz w:val="24"/>
          <w:szCs w:val="24"/>
          <w:lang w:val="es-CO" w:eastAsia="en-US"/>
        </w:rPr>
        <w:t>Con relación a la población recicladora, s</w:t>
      </w:r>
      <w:r w:rsidR="00C97E11" w:rsidRPr="00C97E11">
        <w:rPr>
          <w:rFonts w:ascii="Times New Roman" w:eastAsiaTheme="minorHAnsi" w:hAnsi="Times New Roman"/>
          <w:sz w:val="24"/>
          <w:szCs w:val="24"/>
          <w:lang w:val="es-CO" w:eastAsia="en-US"/>
        </w:rPr>
        <w:t>e culminó verificación de 986 personas para ser incluidas en el RURO (Registro Único de Recicladores de Oficio)</w:t>
      </w:r>
      <w:r>
        <w:rPr>
          <w:rFonts w:ascii="Times New Roman" w:eastAsiaTheme="minorHAnsi" w:hAnsi="Times New Roman"/>
          <w:sz w:val="24"/>
          <w:szCs w:val="24"/>
          <w:lang w:val="es-CO" w:eastAsia="en-US"/>
        </w:rPr>
        <w:t xml:space="preserve"> y s</w:t>
      </w:r>
      <w:r w:rsidRPr="00C97E11">
        <w:rPr>
          <w:rFonts w:ascii="Times New Roman" w:eastAsiaTheme="minorHAnsi" w:hAnsi="Times New Roman"/>
          <w:sz w:val="24"/>
          <w:szCs w:val="24"/>
          <w:lang w:val="es-CO" w:eastAsia="en-US"/>
        </w:rPr>
        <w:t>e logró la formación y sensibilización de los recicladores de oficio con la programación permanente según su demanda, en todas las localidades del Distrito Capital</w:t>
      </w:r>
      <w:r>
        <w:rPr>
          <w:rFonts w:ascii="Times New Roman" w:eastAsiaTheme="minorHAnsi" w:hAnsi="Times New Roman"/>
          <w:sz w:val="24"/>
          <w:szCs w:val="24"/>
          <w:lang w:val="es-CO" w:eastAsia="en-US"/>
        </w:rPr>
        <w:t>. En este sentido, s</w:t>
      </w:r>
      <w:r w:rsidR="00C97E11" w:rsidRPr="00C97E11">
        <w:rPr>
          <w:rFonts w:ascii="Times New Roman" w:eastAsiaTheme="minorHAnsi" w:hAnsi="Times New Roman"/>
          <w:sz w:val="24"/>
          <w:szCs w:val="24"/>
          <w:lang w:val="es-CO" w:eastAsia="en-US"/>
        </w:rPr>
        <w:t>e realizó la remuneración de la recolección y el transporte de material aprovechable por $23.086 millones de pesos.</w:t>
      </w:r>
    </w:p>
    <w:p w14:paraId="2496A9BE" w14:textId="77777777" w:rsidR="00C97E11" w:rsidRPr="00C97E11" w:rsidRDefault="00C97E11" w:rsidP="008E5B73">
      <w:pPr>
        <w:autoSpaceDE w:val="0"/>
        <w:autoSpaceDN w:val="0"/>
        <w:adjustRightInd w:val="0"/>
        <w:ind w:left="426"/>
        <w:rPr>
          <w:rFonts w:ascii="Times New Roman" w:eastAsiaTheme="minorHAnsi" w:hAnsi="Times New Roman"/>
          <w:sz w:val="24"/>
          <w:szCs w:val="24"/>
          <w:lang w:val="es-CO" w:eastAsia="en-US"/>
        </w:rPr>
      </w:pPr>
    </w:p>
    <w:p w14:paraId="7BCD9E12" w14:textId="28C9A82C" w:rsidR="00C97E11" w:rsidRPr="00C97E11" w:rsidRDefault="00792C6D" w:rsidP="008E5B73">
      <w:pPr>
        <w:ind w:left="426"/>
        <w:rPr>
          <w:rFonts w:ascii="Times New Roman" w:hAnsi="Times New Roman"/>
          <w:sz w:val="24"/>
          <w:szCs w:val="24"/>
        </w:rPr>
      </w:pPr>
      <w:r>
        <w:rPr>
          <w:rFonts w:ascii="Times New Roman" w:eastAsiaTheme="minorHAnsi" w:hAnsi="Times New Roman"/>
          <w:sz w:val="24"/>
          <w:szCs w:val="24"/>
          <w:lang w:val="es-CO" w:eastAsia="en-US"/>
        </w:rPr>
        <w:t>En remoción de publicidad exterior visual ilegal, se</w:t>
      </w:r>
      <w:r w:rsidR="00C97E11" w:rsidRPr="00C97E11">
        <w:rPr>
          <w:rFonts w:ascii="Times New Roman" w:hAnsi="Times New Roman"/>
          <w:sz w:val="24"/>
          <w:szCs w:val="24"/>
        </w:rPr>
        <w:t xml:space="preserve"> realizaron 54 operativos,</w:t>
      </w:r>
      <w:r>
        <w:rPr>
          <w:rFonts w:ascii="Times New Roman" w:hAnsi="Times New Roman"/>
          <w:sz w:val="24"/>
          <w:szCs w:val="24"/>
        </w:rPr>
        <w:t xml:space="preserve"> que implicaron</w:t>
      </w:r>
      <w:r w:rsidR="00C97E11" w:rsidRPr="00C97E11">
        <w:rPr>
          <w:rFonts w:ascii="Times New Roman" w:hAnsi="Times New Roman"/>
          <w:sz w:val="24"/>
          <w:szCs w:val="24"/>
        </w:rPr>
        <w:t xml:space="preserve"> el retiro de 12.301 piezas</w:t>
      </w:r>
      <w:r>
        <w:rPr>
          <w:rFonts w:ascii="Times New Roman" w:hAnsi="Times New Roman"/>
          <w:sz w:val="24"/>
          <w:szCs w:val="24"/>
        </w:rPr>
        <w:t xml:space="preserve">, </w:t>
      </w:r>
      <w:r w:rsidR="00C97E11" w:rsidRPr="00C97E11">
        <w:rPr>
          <w:rFonts w:ascii="Times New Roman" w:hAnsi="Times New Roman"/>
          <w:sz w:val="24"/>
          <w:szCs w:val="24"/>
        </w:rPr>
        <w:t>9.826 pendones y 2.475 pasacalles, así como 183 operativos de limpiezas, lavado y recuperación de área limpia en espacios públicos.</w:t>
      </w:r>
    </w:p>
    <w:p w14:paraId="1E708358" w14:textId="77777777" w:rsidR="00792C6D" w:rsidRDefault="00792C6D" w:rsidP="008E5B73">
      <w:pPr>
        <w:ind w:left="426"/>
        <w:rPr>
          <w:rFonts w:ascii="Times New Roman" w:hAnsi="Times New Roman"/>
          <w:sz w:val="24"/>
          <w:szCs w:val="24"/>
        </w:rPr>
      </w:pPr>
    </w:p>
    <w:p w14:paraId="02EC7108" w14:textId="6887024F" w:rsidR="00A47505" w:rsidRPr="000147CC" w:rsidRDefault="00A47505" w:rsidP="008E5B73">
      <w:pPr>
        <w:ind w:left="426"/>
        <w:rPr>
          <w:rFonts w:ascii="Times New Roman" w:hAnsi="Times New Roman"/>
          <w:sz w:val="24"/>
          <w:szCs w:val="24"/>
        </w:rPr>
      </w:pPr>
      <w:r w:rsidRPr="00A47505">
        <w:rPr>
          <w:rFonts w:ascii="Times New Roman" w:hAnsi="Times New Roman"/>
          <w:sz w:val="24"/>
          <w:szCs w:val="24"/>
        </w:rPr>
        <w:t xml:space="preserve">Adicionalmente se adelantaron  actividades en caminadas a la gestión social del área de influencia del Relleno Sanitario Doña Juana (RSDJ), tales como la ejecución del proyecto de Huertas Caseras, en el </w:t>
      </w:r>
      <w:r w:rsidRPr="000147CC">
        <w:rPr>
          <w:rFonts w:ascii="Times New Roman" w:hAnsi="Times New Roman"/>
          <w:sz w:val="24"/>
          <w:szCs w:val="24"/>
        </w:rPr>
        <w:t>cual se brindó la capacitación, asesoría y los insumos para la implementación de 50 huertas caseras en la zona de influencia del RSDJ; actividades de participación lúdica y deportiva con 310 habitantes; capacitación a 150 personas en emprendimiento, para la estructuración de planes de negocio; apoyo a 20 iniciativas productivas con la entrega de capital semilla en especie; y obras de saneamiento básico en Mochuelo Alto y Mochuelo Bajo.</w:t>
      </w:r>
    </w:p>
    <w:p w14:paraId="43B8DF60" w14:textId="77777777" w:rsidR="00C97E11" w:rsidRDefault="00C97E11" w:rsidP="00C97E11">
      <w:pPr>
        <w:pStyle w:val="Textoindependiente"/>
        <w:rPr>
          <w:rFonts w:ascii="Times New Roman" w:eastAsiaTheme="minorHAnsi" w:hAnsi="Times New Roman"/>
          <w:b/>
          <w:bCs/>
          <w:lang w:val="es-ES_tradnl" w:eastAsia="en-US"/>
        </w:rPr>
      </w:pPr>
    </w:p>
    <w:p w14:paraId="265E4ACF" w14:textId="77777777" w:rsidR="00C97E11" w:rsidRPr="000147CC" w:rsidRDefault="00A0718D" w:rsidP="00F86C96">
      <w:pPr>
        <w:pStyle w:val="Textoindependiente"/>
        <w:numPr>
          <w:ilvl w:val="0"/>
          <w:numId w:val="11"/>
        </w:numPr>
        <w:rPr>
          <w:rFonts w:ascii="Times New Roman" w:hAnsi="Times New Roman"/>
          <w:b/>
        </w:rPr>
      </w:pPr>
      <w:r w:rsidRPr="000147CC">
        <w:rPr>
          <w:rFonts w:ascii="Times New Roman" w:hAnsi="Times New Roman"/>
          <w:b/>
        </w:rPr>
        <w:t>Servicios funerarios integrales prestados en los cementerios de propiedad del Distrito</w:t>
      </w:r>
    </w:p>
    <w:p w14:paraId="0A68A505" w14:textId="77777777" w:rsidR="00A0718D" w:rsidRPr="000147CC" w:rsidRDefault="00A0718D" w:rsidP="009E1F1E">
      <w:pPr>
        <w:pStyle w:val="Textoindependiente"/>
        <w:rPr>
          <w:rFonts w:ascii="Times New Roman" w:hAnsi="Times New Roman"/>
          <w:b/>
        </w:rPr>
      </w:pPr>
    </w:p>
    <w:p w14:paraId="6B8F5EAC" w14:textId="51ADE488" w:rsidR="00516CA4" w:rsidRPr="000147CC" w:rsidRDefault="00516CA4" w:rsidP="00F86C96">
      <w:pPr>
        <w:autoSpaceDE w:val="0"/>
        <w:autoSpaceDN w:val="0"/>
        <w:adjustRightInd w:val="0"/>
        <w:ind w:left="426"/>
        <w:rPr>
          <w:rFonts w:ascii="Times New Roman" w:eastAsiaTheme="minorHAnsi" w:hAnsi="Times New Roman"/>
          <w:sz w:val="24"/>
          <w:szCs w:val="24"/>
          <w:lang w:val="es-CO" w:eastAsia="en-US"/>
        </w:rPr>
      </w:pPr>
      <w:r w:rsidRPr="000147CC">
        <w:rPr>
          <w:rFonts w:ascii="Times New Roman" w:eastAsiaTheme="minorHAnsi" w:hAnsi="Times New Roman"/>
          <w:sz w:val="24"/>
          <w:szCs w:val="24"/>
          <w:lang w:val="es-CO" w:eastAsia="en-US"/>
        </w:rPr>
        <w:t>Durante el segundo semestre de 2016 se avanzó en las adecuaciones, mantenimiento y estudios y diseños para los cuatro cementerios de propiedad del Distrito,</w:t>
      </w:r>
      <w:r w:rsidR="00792C6D">
        <w:rPr>
          <w:rFonts w:ascii="Times New Roman" w:eastAsiaTheme="minorHAnsi" w:hAnsi="Times New Roman"/>
          <w:sz w:val="24"/>
          <w:szCs w:val="24"/>
          <w:lang w:val="es-CO" w:eastAsia="en-US"/>
        </w:rPr>
        <w:t xml:space="preserve"> donde se espera: </w:t>
      </w:r>
      <w:r w:rsidRPr="000147CC">
        <w:rPr>
          <w:rFonts w:ascii="Times New Roman" w:eastAsiaTheme="minorHAnsi" w:hAnsi="Times New Roman"/>
          <w:sz w:val="24"/>
          <w:szCs w:val="24"/>
          <w:lang w:val="es-CO" w:eastAsia="en-US"/>
        </w:rPr>
        <w:t xml:space="preserve">habilitación del servicio de cremación, </w:t>
      </w:r>
      <w:r w:rsidR="00792C6D">
        <w:rPr>
          <w:rFonts w:ascii="Times New Roman" w:eastAsiaTheme="minorHAnsi" w:hAnsi="Times New Roman"/>
          <w:sz w:val="24"/>
          <w:szCs w:val="24"/>
          <w:lang w:val="es-CO" w:eastAsia="en-US"/>
        </w:rPr>
        <w:t>modernización de cinco</w:t>
      </w:r>
      <w:r w:rsidRPr="000147CC">
        <w:rPr>
          <w:rFonts w:ascii="Times New Roman" w:eastAsiaTheme="minorHAnsi" w:hAnsi="Times New Roman"/>
          <w:sz w:val="24"/>
          <w:szCs w:val="24"/>
          <w:lang w:val="es-CO" w:eastAsia="en-US"/>
        </w:rPr>
        <w:t xml:space="preserve"> hornos crematorios, ubicados en el Cementerio Distrital de Norte y en el Cementerio Distrital del Sur y adquisición de dotación de las salas de velación.</w:t>
      </w:r>
    </w:p>
    <w:p w14:paraId="762FCC9D" w14:textId="77777777" w:rsidR="00516CA4" w:rsidRPr="000147CC" w:rsidRDefault="00516CA4" w:rsidP="009E1F1E">
      <w:pPr>
        <w:pStyle w:val="Textoindependiente"/>
        <w:rPr>
          <w:rFonts w:ascii="Times New Roman" w:hAnsi="Times New Roman"/>
          <w:b/>
        </w:rPr>
      </w:pPr>
    </w:p>
    <w:p w14:paraId="22C9A50A" w14:textId="77777777" w:rsidR="00516CA4" w:rsidRPr="000147CC" w:rsidRDefault="00516CA4" w:rsidP="00F86C96">
      <w:pPr>
        <w:pStyle w:val="Textoindependiente"/>
        <w:numPr>
          <w:ilvl w:val="0"/>
          <w:numId w:val="11"/>
        </w:numPr>
        <w:rPr>
          <w:rFonts w:ascii="Times New Roman" w:eastAsiaTheme="minorHAnsi" w:hAnsi="Times New Roman"/>
          <w:b/>
          <w:lang w:val="es-CO" w:eastAsia="en-US"/>
        </w:rPr>
      </w:pPr>
      <w:r w:rsidRPr="000147CC">
        <w:rPr>
          <w:rFonts w:ascii="Times New Roman" w:eastAsiaTheme="minorHAnsi" w:hAnsi="Times New Roman"/>
          <w:b/>
          <w:lang w:val="es-CO" w:eastAsia="en-US"/>
        </w:rPr>
        <w:t>Subsidios del servicio funerario entregados a población vulnerable de Bogotá</w:t>
      </w:r>
    </w:p>
    <w:p w14:paraId="2CCD29CE" w14:textId="77777777" w:rsidR="00516CA4" w:rsidRPr="00715213" w:rsidRDefault="00516CA4" w:rsidP="009E1F1E">
      <w:pPr>
        <w:pStyle w:val="Textoindependiente"/>
        <w:rPr>
          <w:rFonts w:ascii="Times New Roman" w:hAnsi="Times New Roman"/>
          <w:b/>
        </w:rPr>
      </w:pPr>
    </w:p>
    <w:p w14:paraId="27901DDC" w14:textId="28CE8B0B" w:rsidR="00516CA4" w:rsidRPr="00715213" w:rsidRDefault="004D751F" w:rsidP="00F86C96">
      <w:pPr>
        <w:autoSpaceDE w:val="0"/>
        <w:autoSpaceDN w:val="0"/>
        <w:adjustRightInd w:val="0"/>
        <w:ind w:left="426"/>
        <w:rPr>
          <w:rFonts w:ascii="Times New Roman" w:hAnsi="Times New Roman"/>
          <w:b/>
          <w:sz w:val="24"/>
          <w:szCs w:val="24"/>
        </w:rPr>
      </w:pPr>
      <w:r w:rsidRPr="00715213">
        <w:rPr>
          <w:rFonts w:ascii="Times New Roman" w:eastAsiaTheme="minorHAnsi" w:hAnsi="Times New Roman"/>
          <w:sz w:val="24"/>
          <w:szCs w:val="24"/>
          <w:lang w:val="es-CO" w:eastAsia="en-US"/>
        </w:rPr>
        <w:t xml:space="preserve">Se </w:t>
      </w:r>
      <w:r w:rsidR="009B0AAB" w:rsidRPr="00715213">
        <w:rPr>
          <w:rFonts w:ascii="Times New Roman" w:eastAsiaTheme="minorHAnsi" w:hAnsi="Times New Roman"/>
          <w:sz w:val="24"/>
          <w:szCs w:val="24"/>
          <w:lang w:val="es-CO" w:eastAsia="en-US"/>
        </w:rPr>
        <w:t xml:space="preserve">entregaron </w:t>
      </w:r>
      <w:r w:rsidRPr="00715213">
        <w:rPr>
          <w:rFonts w:ascii="Times New Roman" w:eastAsiaTheme="minorHAnsi" w:hAnsi="Times New Roman"/>
          <w:sz w:val="24"/>
          <w:szCs w:val="24"/>
          <w:lang w:val="es-CO" w:eastAsia="en-US"/>
        </w:rPr>
        <w:t>500 subsidios funerarios</w:t>
      </w:r>
      <w:r w:rsidR="00475B47" w:rsidRPr="00715213">
        <w:rPr>
          <w:rFonts w:ascii="Times New Roman" w:eastAsiaTheme="minorHAnsi" w:hAnsi="Times New Roman"/>
          <w:sz w:val="24"/>
          <w:szCs w:val="24"/>
          <w:lang w:val="es-CO" w:eastAsia="en-US"/>
        </w:rPr>
        <w:t xml:space="preserve"> por parte la UAESP</w:t>
      </w:r>
      <w:r w:rsidRPr="00715213">
        <w:rPr>
          <w:rFonts w:ascii="Times New Roman" w:eastAsiaTheme="minorHAnsi" w:hAnsi="Times New Roman"/>
          <w:sz w:val="24"/>
          <w:szCs w:val="24"/>
          <w:lang w:val="es-CO" w:eastAsia="en-US"/>
        </w:rPr>
        <w:t>, para que la población en condiciones de vulnerabilidad tenga acceso a los servicios de destino final</w:t>
      </w:r>
      <w:r w:rsidR="00792C6D" w:rsidRPr="00715213">
        <w:rPr>
          <w:rFonts w:ascii="Times New Roman" w:eastAsiaTheme="minorHAnsi" w:hAnsi="Times New Roman"/>
          <w:sz w:val="24"/>
          <w:szCs w:val="24"/>
          <w:lang w:val="es-CO" w:eastAsia="en-US"/>
        </w:rPr>
        <w:t xml:space="preserve">: </w:t>
      </w:r>
      <w:r w:rsidRPr="00715213">
        <w:rPr>
          <w:rFonts w:ascii="Times New Roman" w:eastAsiaTheme="minorHAnsi" w:hAnsi="Times New Roman"/>
          <w:sz w:val="24"/>
          <w:szCs w:val="24"/>
          <w:lang w:val="es-CO" w:eastAsia="en-US"/>
        </w:rPr>
        <w:t>inhumación, exhumación y cremación</w:t>
      </w:r>
      <w:r w:rsidR="00792C6D" w:rsidRPr="00715213">
        <w:rPr>
          <w:rFonts w:ascii="Times New Roman" w:eastAsiaTheme="minorHAnsi" w:hAnsi="Times New Roman"/>
          <w:sz w:val="24"/>
          <w:szCs w:val="24"/>
          <w:lang w:val="es-CO" w:eastAsia="en-US"/>
        </w:rPr>
        <w:t xml:space="preserve">, </w:t>
      </w:r>
      <w:r w:rsidRPr="00715213">
        <w:rPr>
          <w:rFonts w:ascii="Times New Roman" w:eastAsiaTheme="minorHAnsi" w:hAnsi="Times New Roman"/>
          <w:sz w:val="24"/>
          <w:szCs w:val="24"/>
          <w:lang w:val="es-CO" w:eastAsia="en-US"/>
        </w:rPr>
        <w:t xml:space="preserve">en los Cementerios de </w:t>
      </w:r>
      <w:r w:rsidR="00792C6D" w:rsidRPr="00715213">
        <w:rPr>
          <w:rFonts w:ascii="Times New Roman" w:eastAsiaTheme="minorHAnsi" w:hAnsi="Times New Roman"/>
          <w:sz w:val="24"/>
          <w:szCs w:val="24"/>
          <w:lang w:val="es-CO" w:eastAsia="en-US"/>
        </w:rPr>
        <w:t>p</w:t>
      </w:r>
      <w:r w:rsidRPr="00715213">
        <w:rPr>
          <w:rFonts w:ascii="Times New Roman" w:eastAsiaTheme="minorHAnsi" w:hAnsi="Times New Roman"/>
          <w:sz w:val="24"/>
          <w:szCs w:val="24"/>
          <w:lang w:val="es-CO" w:eastAsia="en-US"/>
        </w:rPr>
        <w:t>ropiedad del Distrito Capital.</w:t>
      </w:r>
      <w:r w:rsidR="00792C6D" w:rsidRPr="00715213">
        <w:rPr>
          <w:rFonts w:ascii="Times New Roman" w:eastAsiaTheme="minorHAnsi" w:hAnsi="Times New Roman"/>
          <w:sz w:val="24"/>
          <w:szCs w:val="24"/>
          <w:lang w:val="es-CO" w:eastAsia="en-US"/>
        </w:rPr>
        <w:t xml:space="preserve"> La asignación de subsidios se distribuye de la siguiente forma: en el C</w:t>
      </w:r>
      <w:r w:rsidRPr="00715213">
        <w:rPr>
          <w:rFonts w:ascii="Times New Roman" w:eastAsiaTheme="minorHAnsi" w:hAnsi="Times New Roman"/>
          <w:sz w:val="24"/>
          <w:szCs w:val="24"/>
          <w:lang w:val="es-CO" w:eastAsia="en-US"/>
        </w:rPr>
        <w:t>ementerio Central</w:t>
      </w:r>
      <w:r w:rsidR="00792C6D" w:rsidRPr="00715213">
        <w:rPr>
          <w:rFonts w:ascii="Times New Roman" w:eastAsiaTheme="minorHAnsi" w:hAnsi="Times New Roman"/>
          <w:sz w:val="24"/>
          <w:szCs w:val="24"/>
          <w:lang w:val="es-CO" w:eastAsia="en-US"/>
        </w:rPr>
        <w:t xml:space="preserve"> (localidad Barrios Unidos)</w:t>
      </w:r>
      <w:r w:rsidRPr="00715213">
        <w:rPr>
          <w:rFonts w:ascii="Times New Roman" w:eastAsiaTheme="minorHAnsi" w:hAnsi="Times New Roman"/>
          <w:sz w:val="24"/>
          <w:szCs w:val="24"/>
          <w:lang w:val="es-CO" w:eastAsia="en-US"/>
        </w:rPr>
        <w:t xml:space="preserve"> 171</w:t>
      </w:r>
      <w:r w:rsidR="00792C6D" w:rsidRPr="00715213">
        <w:rPr>
          <w:rFonts w:ascii="Times New Roman" w:eastAsiaTheme="minorHAnsi" w:hAnsi="Times New Roman"/>
          <w:sz w:val="24"/>
          <w:szCs w:val="24"/>
          <w:lang w:val="es-CO" w:eastAsia="en-US"/>
        </w:rPr>
        <w:t xml:space="preserve"> subsidios; </w:t>
      </w:r>
      <w:r w:rsidRPr="00715213">
        <w:rPr>
          <w:rFonts w:ascii="Times New Roman" w:eastAsiaTheme="minorHAnsi" w:hAnsi="Times New Roman"/>
          <w:sz w:val="24"/>
          <w:szCs w:val="24"/>
          <w:lang w:val="es-CO" w:eastAsia="en-US"/>
        </w:rPr>
        <w:t>Cementerio Norte</w:t>
      </w:r>
      <w:r w:rsidR="00792C6D" w:rsidRPr="00715213">
        <w:rPr>
          <w:rFonts w:ascii="Times New Roman" w:eastAsiaTheme="minorHAnsi" w:hAnsi="Times New Roman"/>
          <w:sz w:val="24"/>
          <w:szCs w:val="24"/>
          <w:lang w:val="es-CO" w:eastAsia="en-US"/>
        </w:rPr>
        <w:t xml:space="preserve"> (</w:t>
      </w:r>
      <w:r w:rsidRPr="00715213">
        <w:rPr>
          <w:rFonts w:ascii="Times New Roman" w:eastAsiaTheme="minorHAnsi" w:hAnsi="Times New Roman"/>
          <w:sz w:val="24"/>
          <w:szCs w:val="24"/>
          <w:lang w:val="es-CO" w:eastAsia="en-US"/>
        </w:rPr>
        <w:t xml:space="preserve">localidad </w:t>
      </w:r>
      <w:r w:rsidR="00792C6D" w:rsidRPr="00715213">
        <w:rPr>
          <w:rFonts w:ascii="Times New Roman" w:eastAsiaTheme="minorHAnsi" w:hAnsi="Times New Roman"/>
          <w:sz w:val="24"/>
          <w:szCs w:val="24"/>
          <w:lang w:val="es-CO" w:eastAsia="en-US"/>
        </w:rPr>
        <w:t>M</w:t>
      </w:r>
      <w:r w:rsidRPr="00715213">
        <w:rPr>
          <w:rFonts w:ascii="Times New Roman" w:eastAsiaTheme="minorHAnsi" w:hAnsi="Times New Roman"/>
          <w:sz w:val="24"/>
          <w:szCs w:val="24"/>
          <w:lang w:val="es-CO" w:eastAsia="en-US"/>
        </w:rPr>
        <w:t>ártires</w:t>
      </w:r>
      <w:r w:rsidR="00792C6D" w:rsidRPr="00715213">
        <w:rPr>
          <w:rFonts w:ascii="Times New Roman" w:eastAsiaTheme="minorHAnsi" w:hAnsi="Times New Roman"/>
          <w:sz w:val="24"/>
          <w:szCs w:val="24"/>
          <w:lang w:val="es-CO" w:eastAsia="en-US"/>
        </w:rPr>
        <w:t xml:space="preserve">), 56 subsidios; </w:t>
      </w:r>
      <w:r w:rsidRPr="00715213">
        <w:rPr>
          <w:rFonts w:ascii="Times New Roman" w:eastAsiaTheme="minorHAnsi" w:hAnsi="Times New Roman"/>
          <w:sz w:val="24"/>
          <w:szCs w:val="24"/>
          <w:lang w:val="es-CO" w:eastAsia="en-US"/>
        </w:rPr>
        <w:t>Cementerio Parque Seraf</w:t>
      </w:r>
      <w:r w:rsidR="00792C6D" w:rsidRPr="00715213">
        <w:rPr>
          <w:rFonts w:ascii="Times New Roman" w:eastAsiaTheme="minorHAnsi" w:hAnsi="Times New Roman"/>
          <w:sz w:val="24"/>
          <w:szCs w:val="24"/>
          <w:lang w:val="es-CO" w:eastAsia="en-US"/>
        </w:rPr>
        <w:t>í</w:t>
      </w:r>
      <w:r w:rsidRPr="00715213">
        <w:rPr>
          <w:rFonts w:ascii="Times New Roman" w:eastAsiaTheme="minorHAnsi" w:hAnsi="Times New Roman"/>
          <w:sz w:val="24"/>
          <w:szCs w:val="24"/>
          <w:lang w:val="es-CO" w:eastAsia="en-US"/>
        </w:rPr>
        <w:t>n</w:t>
      </w:r>
      <w:r w:rsidR="00792C6D" w:rsidRPr="00715213">
        <w:rPr>
          <w:rFonts w:ascii="Times New Roman" w:eastAsiaTheme="minorHAnsi" w:hAnsi="Times New Roman"/>
          <w:sz w:val="24"/>
          <w:szCs w:val="24"/>
          <w:lang w:val="es-CO" w:eastAsia="en-US"/>
        </w:rPr>
        <w:t xml:space="preserve"> (</w:t>
      </w:r>
      <w:r w:rsidRPr="00715213">
        <w:rPr>
          <w:rFonts w:ascii="Times New Roman" w:eastAsiaTheme="minorHAnsi" w:hAnsi="Times New Roman"/>
          <w:sz w:val="24"/>
          <w:szCs w:val="24"/>
          <w:lang w:val="es-CO" w:eastAsia="en-US"/>
        </w:rPr>
        <w:t xml:space="preserve">localidad </w:t>
      </w:r>
      <w:r w:rsidR="00792C6D" w:rsidRPr="00715213">
        <w:rPr>
          <w:rFonts w:ascii="Times New Roman" w:eastAsiaTheme="minorHAnsi" w:hAnsi="Times New Roman"/>
          <w:sz w:val="24"/>
          <w:szCs w:val="24"/>
          <w:lang w:val="es-CO" w:eastAsia="en-US"/>
        </w:rPr>
        <w:t>Ci</w:t>
      </w:r>
      <w:r w:rsidRPr="00715213">
        <w:rPr>
          <w:rFonts w:ascii="Times New Roman" w:eastAsiaTheme="minorHAnsi" w:hAnsi="Times New Roman"/>
          <w:sz w:val="24"/>
          <w:szCs w:val="24"/>
          <w:lang w:val="es-CO" w:eastAsia="en-US"/>
        </w:rPr>
        <w:t xml:space="preserve">udad </w:t>
      </w:r>
      <w:r w:rsidR="00792C6D" w:rsidRPr="00715213">
        <w:rPr>
          <w:rFonts w:ascii="Times New Roman" w:eastAsiaTheme="minorHAnsi" w:hAnsi="Times New Roman"/>
          <w:sz w:val="24"/>
          <w:szCs w:val="24"/>
          <w:lang w:val="es-CO" w:eastAsia="en-US"/>
        </w:rPr>
        <w:t>B</w:t>
      </w:r>
      <w:r w:rsidRPr="00715213">
        <w:rPr>
          <w:rFonts w:ascii="Times New Roman" w:eastAsiaTheme="minorHAnsi" w:hAnsi="Times New Roman"/>
          <w:sz w:val="24"/>
          <w:szCs w:val="24"/>
          <w:lang w:val="es-CO" w:eastAsia="en-US"/>
        </w:rPr>
        <w:t>olívar</w:t>
      </w:r>
      <w:r w:rsidR="00792C6D" w:rsidRPr="00715213">
        <w:rPr>
          <w:rFonts w:ascii="Times New Roman" w:eastAsiaTheme="minorHAnsi" w:hAnsi="Times New Roman"/>
          <w:sz w:val="24"/>
          <w:szCs w:val="24"/>
          <w:lang w:val="es-CO" w:eastAsia="en-US"/>
        </w:rPr>
        <w:t>), 107 subsidios; y c</w:t>
      </w:r>
      <w:r w:rsidRPr="00715213">
        <w:rPr>
          <w:rFonts w:ascii="Times New Roman" w:eastAsiaTheme="minorHAnsi" w:hAnsi="Times New Roman"/>
          <w:sz w:val="24"/>
          <w:szCs w:val="24"/>
          <w:lang w:val="es-CO" w:eastAsia="en-US"/>
        </w:rPr>
        <w:t>ementerio Sur</w:t>
      </w:r>
      <w:r w:rsidR="00792C6D" w:rsidRPr="00715213">
        <w:rPr>
          <w:rFonts w:ascii="Times New Roman" w:eastAsiaTheme="minorHAnsi" w:hAnsi="Times New Roman"/>
          <w:sz w:val="24"/>
          <w:szCs w:val="24"/>
          <w:lang w:val="es-CO" w:eastAsia="en-US"/>
        </w:rPr>
        <w:t xml:space="preserve"> (</w:t>
      </w:r>
      <w:r w:rsidRPr="00715213">
        <w:rPr>
          <w:rFonts w:ascii="Times New Roman" w:eastAsiaTheme="minorHAnsi" w:hAnsi="Times New Roman"/>
          <w:sz w:val="24"/>
          <w:szCs w:val="24"/>
          <w:lang w:val="es-CO" w:eastAsia="en-US"/>
        </w:rPr>
        <w:t>localidad Antonio Nariño</w:t>
      </w:r>
      <w:r w:rsidR="00792C6D" w:rsidRPr="00715213">
        <w:rPr>
          <w:rFonts w:ascii="Times New Roman" w:eastAsiaTheme="minorHAnsi" w:hAnsi="Times New Roman"/>
          <w:sz w:val="24"/>
          <w:szCs w:val="24"/>
          <w:lang w:val="es-CO" w:eastAsia="en-US"/>
        </w:rPr>
        <w:t>), 166 subsidios.</w:t>
      </w:r>
    </w:p>
    <w:p w14:paraId="370E449C" w14:textId="77777777" w:rsidR="007D06BC" w:rsidRDefault="007D06BC" w:rsidP="009E1F1E">
      <w:pPr>
        <w:rPr>
          <w:rFonts w:ascii="Times New Roman" w:hAnsi="Times New Roman"/>
          <w:sz w:val="24"/>
          <w:szCs w:val="24"/>
          <w:lang w:val="es-ES" w:eastAsia="x-none"/>
        </w:rPr>
      </w:pPr>
    </w:p>
    <w:p w14:paraId="12ACF129" w14:textId="726E4EDB" w:rsidR="00F86C96" w:rsidRPr="00F86C96" w:rsidRDefault="00E02F89" w:rsidP="00F86C96">
      <w:pPr>
        <w:rPr>
          <w:rFonts w:ascii="Times New Roman" w:eastAsiaTheme="majorEastAsia" w:hAnsi="Times New Roman"/>
          <w:b/>
          <w:sz w:val="24"/>
          <w:szCs w:val="24"/>
          <w:u w:val="single"/>
        </w:rPr>
      </w:pPr>
      <w:r>
        <w:rPr>
          <w:rFonts w:ascii="Times New Roman" w:eastAsiaTheme="majorEastAsia" w:hAnsi="Times New Roman"/>
          <w:b/>
          <w:sz w:val="24"/>
          <w:szCs w:val="24"/>
          <w:u w:val="single"/>
        </w:rPr>
        <w:t xml:space="preserve">14 - </w:t>
      </w:r>
      <w:r w:rsidR="00F86C96" w:rsidRPr="00F86C96">
        <w:rPr>
          <w:rFonts w:ascii="Times New Roman" w:eastAsiaTheme="majorEastAsia" w:hAnsi="Times New Roman"/>
          <w:b/>
          <w:sz w:val="24"/>
          <w:szCs w:val="24"/>
          <w:u w:val="single"/>
        </w:rPr>
        <w:t>Intervenciones Integrales del Hábitat.</w:t>
      </w:r>
    </w:p>
    <w:p w14:paraId="5FC1C8A0" w14:textId="77777777" w:rsidR="004D3D5E" w:rsidRDefault="004D3D5E" w:rsidP="009E1F1E">
      <w:pPr>
        <w:rPr>
          <w:rFonts w:ascii="Times New Roman" w:hAnsi="Times New Roman"/>
          <w:sz w:val="24"/>
          <w:szCs w:val="24"/>
          <w:lang w:val="es-ES" w:eastAsia="x-none"/>
        </w:rPr>
      </w:pPr>
    </w:p>
    <w:p w14:paraId="457F7F0E" w14:textId="0894DEAD" w:rsidR="004D3D5E" w:rsidRDefault="00F86C96" w:rsidP="00F86C96">
      <w:pPr>
        <w:rPr>
          <w:rFonts w:ascii="Times New Roman" w:hAnsi="Times New Roman"/>
          <w:sz w:val="24"/>
          <w:szCs w:val="24"/>
          <w:lang w:val="es-ES"/>
        </w:rPr>
      </w:pPr>
      <w:r>
        <w:rPr>
          <w:rFonts w:ascii="Times New Roman" w:hAnsi="Times New Roman"/>
          <w:sz w:val="24"/>
          <w:szCs w:val="24"/>
        </w:rPr>
        <w:t xml:space="preserve">En este programa </w:t>
      </w:r>
      <w:r w:rsidR="004D3D5E">
        <w:rPr>
          <w:rFonts w:ascii="Times New Roman" w:hAnsi="Times New Roman"/>
          <w:sz w:val="24"/>
          <w:szCs w:val="24"/>
          <w:lang w:val="es-ES"/>
        </w:rPr>
        <w:t>existen tres grandes actuaciones</w:t>
      </w:r>
      <w:r>
        <w:rPr>
          <w:rFonts w:ascii="Times New Roman" w:hAnsi="Times New Roman"/>
          <w:sz w:val="24"/>
          <w:szCs w:val="24"/>
          <w:lang w:val="es-ES"/>
        </w:rPr>
        <w:t xml:space="preserve"> a fin de mejorar el entorno urbano y rural</w:t>
      </w:r>
      <w:r w:rsidR="004D3D5E">
        <w:rPr>
          <w:rFonts w:ascii="Times New Roman" w:hAnsi="Times New Roman"/>
          <w:sz w:val="24"/>
          <w:szCs w:val="24"/>
          <w:lang w:val="es-ES"/>
        </w:rPr>
        <w:t xml:space="preserve">: (i) </w:t>
      </w:r>
      <w:r w:rsidR="004D3D5E" w:rsidRPr="00810684">
        <w:rPr>
          <w:rFonts w:ascii="Times New Roman" w:hAnsi="Times New Roman"/>
          <w:sz w:val="24"/>
          <w:szCs w:val="24"/>
          <w:lang w:val="es-CO"/>
        </w:rPr>
        <w:t xml:space="preserve">asociación </w:t>
      </w:r>
      <w:r w:rsidR="004D3D5E">
        <w:rPr>
          <w:rFonts w:ascii="Times New Roman" w:hAnsi="Times New Roman"/>
          <w:sz w:val="24"/>
          <w:szCs w:val="24"/>
          <w:lang w:val="es-CO"/>
        </w:rPr>
        <w:t xml:space="preserve">con </w:t>
      </w:r>
      <w:r w:rsidR="004D3D5E" w:rsidRPr="00810684">
        <w:rPr>
          <w:rFonts w:ascii="Times New Roman" w:hAnsi="Times New Roman"/>
          <w:sz w:val="24"/>
          <w:szCs w:val="24"/>
          <w:lang w:val="es-CO"/>
        </w:rPr>
        <w:t>el sector público y el sector privado, a fin de capturar la máxima renta del suelo en proyectos inmobiliarios para la construcción de espacio público, equipamientos y la provisión de suelo para proyectos de vivienda, particularmente de interés social y prioritario;</w:t>
      </w:r>
      <w:r w:rsidR="004D3D5E">
        <w:rPr>
          <w:rFonts w:ascii="Times New Roman" w:hAnsi="Times New Roman"/>
          <w:sz w:val="24"/>
          <w:szCs w:val="24"/>
          <w:lang w:val="es-CO"/>
        </w:rPr>
        <w:t xml:space="preserve"> (ii)</w:t>
      </w:r>
      <w:r w:rsidR="004D3D5E" w:rsidRPr="00810684">
        <w:rPr>
          <w:rFonts w:ascii="Times New Roman" w:hAnsi="Times New Roman"/>
          <w:sz w:val="24"/>
          <w:szCs w:val="24"/>
          <w:lang w:val="es-CO"/>
        </w:rPr>
        <w:t xml:space="preserve"> adquisición de terrenos para la expansión urbana, la identificación de terrenos subutilizados en la ciudad consolidada y  la elaboración de reglamentación del aprovechamientos de dotacionales de grande extensión, así como la ejecución de proyectos de desarrollo urbano</w:t>
      </w:r>
      <w:r w:rsidR="004D3D5E">
        <w:rPr>
          <w:rFonts w:ascii="Times New Roman" w:hAnsi="Times New Roman"/>
          <w:sz w:val="24"/>
          <w:szCs w:val="24"/>
          <w:lang w:val="es-CO"/>
        </w:rPr>
        <w:t>; (iii)</w:t>
      </w:r>
      <w:r w:rsidR="004D3D5E" w:rsidRPr="00810684">
        <w:rPr>
          <w:rFonts w:ascii="Times New Roman" w:hAnsi="Times New Roman"/>
          <w:sz w:val="24"/>
          <w:szCs w:val="24"/>
          <w:lang w:val="es-CO"/>
        </w:rPr>
        <w:t xml:space="preserve"> </w:t>
      </w:r>
      <w:r>
        <w:rPr>
          <w:rFonts w:ascii="Times New Roman" w:hAnsi="Times New Roman"/>
          <w:sz w:val="24"/>
          <w:szCs w:val="24"/>
          <w:lang w:val="es-CO"/>
        </w:rPr>
        <w:t>avance</w:t>
      </w:r>
      <w:r w:rsidR="004D3D5E" w:rsidRPr="00810684">
        <w:rPr>
          <w:rFonts w:ascii="Times New Roman" w:hAnsi="Times New Roman"/>
          <w:sz w:val="24"/>
          <w:szCs w:val="24"/>
          <w:lang w:val="es-CO"/>
        </w:rPr>
        <w:t xml:space="preserve"> en la gestión de los procesos de legalización o regularización urbanística, reasentamiento y titulación y el apoyo técnico en el proceso de subsidios de mejoramiento de vivienda urbana y rural.</w:t>
      </w:r>
      <w:r w:rsidR="004D3D5E" w:rsidRPr="00810684">
        <w:rPr>
          <w:rFonts w:ascii="Times New Roman" w:hAnsi="Times New Roman"/>
          <w:sz w:val="24"/>
          <w:szCs w:val="24"/>
          <w:lang w:val="es-ES"/>
        </w:rPr>
        <w:t xml:space="preserve"> </w:t>
      </w:r>
    </w:p>
    <w:p w14:paraId="656503FA" w14:textId="77777777" w:rsidR="004D3D5E" w:rsidRDefault="004D3D5E" w:rsidP="00F86C96">
      <w:pPr>
        <w:rPr>
          <w:rFonts w:ascii="Times New Roman" w:hAnsi="Times New Roman"/>
          <w:sz w:val="24"/>
          <w:szCs w:val="24"/>
          <w:lang w:val="es-ES"/>
        </w:rPr>
      </w:pPr>
    </w:p>
    <w:p w14:paraId="6F566B41" w14:textId="77777777" w:rsidR="004D3D5E" w:rsidRDefault="004D3D5E" w:rsidP="00F86C96">
      <w:pPr>
        <w:rPr>
          <w:rFonts w:ascii="Times New Roman" w:eastAsia="Calibri" w:hAnsi="Times New Roman"/>
          <w:sz w:val="24"/>
          <w:szCs w:val="24"/>
          <w:lang w:val="es-CO"/>
        </w:rPr>
      </w:pPr>
      <w:r>
        <w:rPr>
          <w:rFonts w:ascii="Times New Roman" w:hAnsi="Times New Roman"/>
          <w:sz w:val="24"/>
          <w:szCs w:val="24"/>
          <w:lang w:val="es-ES"/>
        </w:rPr>
        <w:t>A continuación se presentan los</w:t>
      </w:r>
      <w:r>
        <w:rPr>
          <w:rFonts w:ascii="Times New Roman" w:eastAsia="Calibri" w:hAnsi="Times New Roman"/>
          <w:sz w:val="24"/>
          <w:szCs w:val="24"/>
          <w:lang w:val="es-CO"/>
        </w:rPr>
        <w:t xml:space="preserve"> </w:t>
      </w:r>
      <w:r w:rsidRPr="009B0099">
        <w:rPr>
          <w:rFonts w:ascii="Times New Roman" w:eastAsia="Calibri" w:hAnsi="Times New Roman"/>
          <w:sz w:val="24"/>
          <w:szCs w:val="24"/>
          <w:lang w:val="es-CO"/>
        </w:rPr>
        <w:t xml:space="preserve">avances en las metas del programa </w:t>
      </w:r>
      <w:r>
        <w:rPr>
          <w:rFonts w:ascii="Times New Roman" w:eastAsia="Calibri" w:hAnsi="Times New Roman"/>
          <w:sz w:val="24"/>
          <w:szCs w:val="24"/>
          <w:lang w:val="es-CO"/>
        </w:rPr>
        <w:t xml:space="preserve">que contribuirán al logro de los objetivos mencionados. </w:t>
      </w:r>
    </w:p>
    <w:p w14:paraId="615D89DB" w14:textId="77777777" w:rsidR="004D3D5E" w:rsidRDefault="004D3D5E" w:rsidP="004D3D5E">
      <w:pPr>
        <w:rPr>
          <w:rFonts w:ascii="Times New Roman" w:eastAsia="Calibri" w:hAnsi="Times New Roman"/>
          <w:sz w:val="24"/>
          <w:szCs w:val="24"/>
          <w:lang w:val="es-CO"/>
        </w:rPr>
      </w:pPr>
    </w:p>
    <w:p w14:paraId="5C7E9077" w14:textId="77777777" w:rsidR="004D3D5E" w:rsidRPr="00F86C96" w:rsidRDefault="004D3D5E" w:rsidP="00F86C96">
      <w:pPr>
        <w:pStyle w:val="Prrafodelista"/>
        <w:numPr>
          <w:ilvl w:val="0"/>
          <w:numId w:val="11"/>
        </w:numPr>
        <w:rPr>
          <w:rFonts w:ascii="Times New Roman" w:eastAsia="Calibri" w:hAnsi="Times New Roman"/>
          <w:b/>
          <w:sz w:val="24"/>
          <w:szCs w:val="24"/>
          <w:lang w:val="es-CO"/>
        </w:rPr>
      </w:pPr>
      <w:r w:rsidRPr="00F86C96">
        <w:rPr>
          <w:rFonts w:ascii="Times New Roman" w:eastAsia="Calibri" w:hAnsi="Times New Roman"/>
          <w:b/>
          <w:sz w:val="24"/>
          <w:szCs w:val="24"/>
          <w:lang w:val="es-CO"/>
        </w:rPr>
        <w:t>Viviendas iniciadas en Bogotá</w:t>
      </w:r>
    </w:p>
    <w:p w14:paraId="7E79135F" w14:textId="77777777" w:rsidR="004D3D5E" w:rsidRPr="004979A4" w:rsidRDefault="004D3D5E" w:rsidP="004D3D5E">
      <w:pPr>
        <w:rPr>
          <w:rFonts w:ascii="Times New Roman" w:eastAsia="Calibri" w:hAnsi="Times New Roman"/>
          <w:b/>
          <w:sz w:val="24"/>
          <w:szCs w:val="24"/>
          <w:lang w:val="es-CO"/>
        </w:rPr>
      </w:pPr>
    </w:p>
    <w:p w14:paraId="67825C61" w14:textId="59443767" w:rsidR="00C97714" w:rsidRPr="00C97714" w:rsidRDefault="00C97714" w:rsidP="00C97714">
      <w:pPr>
        <w:autoSpaceDE w:val="0"/>
        <w:autoSpaceDN w:val="0"/>
        <w:adjustRightInd w:val="0"/>
        <w:ind w:left="426"/>
        <w:rPr>
          <w:rFonts w:ascii="Times New Roman" w:hAnsi="Times New Roman"/>
          <w:sz w:val="24"/>
          <w:szCs w:val="24"/>
        </w:rPr>
      </w:pPr>
      <w:r w:rsidRPr="00C97714">
        <w:rPr>
          <w:rFonts w:ascii="Times New Roman" w:hAnsi="Times New Roman"/>
          <w:sz w:val="24"/>
          <w:szCs w:val="24"/>
        </w:rPr>
        <w:t xml:space="preserve">Según la Encuesta Multipropósito para Bogotá, la ciudad presenta un déficit habitacional del 9.1%. Para reducir este déficit, se espera que en la ciudad se inicie la construcción de 150.000 viviendas de las cuales 60.000 sean Viviendas de Interés Social – VIS. La información reportada por el DANE, muestra que al cierre de 2016 se iniciaron 30.103 </w:t>
      </w:r>
      <w:bookmarkStart w:id="0" w:name="_GoBack"/>
      <w:bookmarkEnd w:id="0"/>
      <w:r w:rsidRPr="00C97714">
        <w:rPr>
          <w:rFonts w:ascii="Times New Roman" w:hAnsi="Times New Roman"/>
          <w:sz w:val="24"/>
          <w:szCs w:val="24"/>
        </w:rPr>
        <w:t xml:space="preserve">unidades. </w:t>
      </w:r>
      <w:r w:rsidRPr="00C97714">
        <w:rPr>
          <w:rFonts w:ascii="Times New Roman" w:hAnsi="Times New Roman"/>
          <w:sz w:val="24"/>
          <w:szCs w:val="24"/>
        </w:rPr>
        <w:t>De estas 8.484 unidades de viviendas corresponde a vivienda VIS. Lo cual representa un avance del 88.5% respecto a lo meta programada en la vigencia (34.000 unidades).</w:t>
      </w:r>
    </w:p>
    <w:p w14:paraId="0F1EEB54" w14:textId="77777777" w:rsidR="00C97714" w:rsidRPr="00C97714" w:rsidRDefault="00C97714" w:rsidP="00C97714">
      <w:pPr>
        <w:autoSpaceDE w:val="0"/>
        <w:autoSpaceDN w:val="0"/>
        <w:adjustRightInd w:val="0"/>
        <w:ind w:left="426"/>
        <w:rPr>
          <w:rFonts w:ascii="Times New Roman" w:hAnsi="Times New Roman"/>
          <w:sz w:val="24"/>
          <w:szCs w:val="24"/>
        </w:rPr>
      </w:pPr>
    </w:p>
    <w:p w14:paraId="3036B32F" w14:textId="77777777" w:rsidR="00C97714" w:rsidRPr="00C97714" w:rsidRDefault="00C97714" w:rsidP="00C97714">
      <w:pPr>
        <w:autoSpaceDE w:val="0"/>
        <w:autoSpaceDN w:val="0"/>
        <w:adjustRightInd w:val="0"/>
        <w:ind w:left="426"/>
        <w:rPr>
          <w:rFonts w:ascii="Times New Roman" w:hAnsi="Times New Roman"/>
          <w:sz w:val="24"/>
          <w:szCs w:val="24"/>
        </w:rPr>
      </w:pPr>
      <w:r w:rsidRPr="00C97714">
        <w:rPr>
          <w:rFonts w:ascii="Times New Roman" w:hAnsi="Times New Roman"/>
          <w:sz w:val="24"/>
          <w:szCs w:val="24"/>
        </w:rPr>
        <w:t>Las cifras proporcionadas permiten evidenciar las tendencias y evolución en la producción de vivienda en la ciudad. Por otra parte, las viviendas licenciadas entre enero y diciembre de 2016, fueron 41.004 unidades, con un aumento de 16,8% comparado con el mismo periodo del año anterior. De este total de viviendas se observa que 22.147 unidades corresponden a vivienda de interés social y 18.857 para vivienda no VIS</w:t>
      </w:r>
    </w:p>
    <w:p w14:paraId="3D84D85C" w14:textId="77777777" w:rsidR="00C97714" w:rsidRPr="00C97714" w:rsidRDefault="00C97714" w:rsidP="00C97714">
      <w:pPr>
        <w:autoSpaceDE w:val="0"/>
        <w:autoSpaceDN w:val="0"/>
        <w:adjustRightInd w:val="0"/>
        <w:ind w:left="426"/>
        <w:rPr>
          <w:rFonts w:ascii="Times New Roman" w:hAnsi="Times New Roman"/>
          <w:sz w:val="24"/>
          <w:szCs w:val="24"/>
        </w:rPr>
      </w:pPr>
    </w:p>
    <w:p w14:paraId="02D4D23C" w14:textId="2C6D036F" w:rsidR="004D3D5E" w:rsidRDefault="00C97714" w:rsidP="00C97714">
      <w:pPr>
        <w:autoSpaceDE w:val="0"/>
        <w:autoSpaceDN w:val="0"/>
        <w:adjustRightInd w:val="0"/>
        <w:ind w:left="426"/>
        <w:rPr>
          <w:rFonts w:ascii="Times New Roman" w:hAnsi="Times New Roman"/>
          <w:sz w:val="24"/>
          <w:szCs w:val="24"/>
        </w:rPr>
      </w:pPr>
      <w:r w:rsidRPr="00C97714">
        <w:rPr>
          <w:rFonts w:ascii="Times New Roman" w:hAnsi="Times New Roman"/>
          <w:sz w:val="24"/>
          <w:szCs w:val="24"/>
        </w:rPr>
        <w:t>En el mes de noviembre de 2016, se registraron 7.562 unidades licenciadas para vivienda en Bogotá, de las cuales el 77% corresponden a vivienda de interés social y 23% a vivienda no VIS. Este aumento de las unidades licenciadas en vivienda VIS está explicado por el extraordinario comportamiento de las unidades licenciadas de vivienda de interés prioritario en el cual se registraron 4.453 unidades en Bogotá, cifra histórica para la capital del país desde que se tiene esta medición.</w:t>
      </w:r>
    </w:p>
    <w:p w14:paraId="3FA033FF" w14:textId="77777777" w:rsidR="00C97714" w:rsidRDefault="00C97714" w:rsidP="00C97714">
      <w:pPr>
        <w:autoSpaceDE w:val="0"/>
        <w:autoSpaceDN w:val="0"/>
        <w:adjustRightInd w:val="0"/>
        <w:ind w:left="426"/>
        <w:rPr>
          <w:rFonts w:ascii="Times New Roman" w:hAnsi="Times New Roman"/>
          <w:sz w:val="24"/>
          <w:szCs w:val="24"/>
        </w:rPr>
      </w:pPr>
    </w:p>
    <w:p w14:paraId="3991F8F3" w14:textId="77777777" w:rsidR="004D3D5E" w:rsidRPr="00F86C96" w:rsidRDefault="004D3D5E" w:rsidP="00F86C96">
      <w:pPr>
        <w:pStyle w:val="Prrafodelista"/>
        <w:numPr>
          <w:ilvl w:val="0"/>
          <w:numId w:val="11"/>
        </w:numPr>
        <w:autoSpaceDE w:val="0"/>
        <w:autoSpaceDN w:val="0"/>
        <w:adjustRightInd w:val="0"/>
        <w:rPr>
          <w:rFonts w:ascii="Times New Roman" w:hAnsi="Times New Roman"/>
          <w:b/>
          <w:sz w:val="24"/>
          <w:szCs w:val="24"/>
        </w:rPr>
      </w:pPr>
      <w:r w:rsidRPr="00F86C96">
        <w:rPr>
          <w:rFonts w:ascii="Times New Roman" w:hAnsi="Times New Roman"/>
          <w:b/>
          <w:sz w:val="24"/>
          <w:szCs w:val="24"/>
        </w:rPr>
        <w:t>Gestión de suelo para la construcción de vivienda y usos complementarios</w:t>
      </w:r>
    </w:p>
    <w:p w14:paraId="3008621D" w14:textId="77777777" w:rsidR="004D3D5E" w:rsidRPr="002A36C2" w:rsidRDefault="004D3D5E" w:rsidP="004D3D5E">
      <w:pPr>
        <w:rPr>
          <w:rFonts w:ascii="Times New Roman" w:hAnsi="Times New Roman"/>
          <w:sz w:val="24"/>
          <w:szCs w:val="24"/>
        </w:rPr>
      </w:pPr>
    </w:p>
    <w:p w14:paraId="4CA8C93A" w14:textId="4A89E605" w:rsidR="004D3D5E" w:rsidRPr="002A36C2" w:rsidRDefault="004D3D5E" w:rsidP="00F86C96">
      <w:pPr>
        <w:autoSpaceDE w:val="0"/>
        <w:autoSpaceDN w:val="0"/>
        <w:adjustRightInd w:val="0"/>
        <w:ind w:left="426"/>
        <w:rPr>
          <w:rFonts w:ascii="Times New Roman" w:hAnsi="Times New Roman"/>
          <w:sz w:val="24"/>
          <w:szCs w:val="24"/>
        </w:rPr>
      </w:pPr>
      <w:r w:rsidRPr="002A36C2">
        <w:rPr>
          <w:rFonts w:ascii="Times New Roman" w:hAnsi="Times New Roman"/>
          <w:sz w:val="24"/>
          <w:szCs w:val="24"/>
        </w:rPr>
        <w:t>En el segundo semestre de 2016 se gestionaron 5,93 hectáreas de suelo útil destinado a vivienda y usos complementarios que proveerán 5.186 unidades de vivienda para todos los estratos sociales de la ciudad, de los cuales 960 serán unidades VIP y 120 unidades VIS. Así mismo, se aporta a la ciudad 11.8 has de sesiones públicas para parques, equipamientos y espacio público.</w:t>
      </w:r>
      <w:r>
        <w:rPr>
          <w:rFonts w:ascii="Times New Roman" w:hAnsi="Times New Roman"/>
          <w:sz w:val="24"/>
          <w:szCs w:val="24"/>
        </w:rPr>
        <w:t xml:space="preserve"> </w:t>
      </w:r>
    </w:p>
    <w:p w14:paraId="023C95FC" w14:textId="77777777" w:rsidR="004D3D5E" w:rsidRPr="002A36C2" w:rsidRDefault="004D3D5E" w:rsidP="00F86C96">
      <w:pPr>
        <w:ind w:left="426"/>
        <w:rPr>
          <w:rFonts w:ascii="Times New Roman" w:hAnsi="Times New Roman"/>
          <w:sz w:val="24"/>
          <w:szCs w:val="24"/>
        </w:rPr>
      </w:pPr>
    </w:p>
    <w:p w14:paraId="695284D7" w14:textId="77777777" w:rsidR="004D3D5E" w:rsidRDefault="004D3D5E" w:rsidP="00F86C96">
      <w:pPr>
        <w:ind w:left="426"/>
        <w:rPr>
          <w:rFonts w:ascii="Times New Roman" w:hAnsi="Times New Roman"/>
          <w:color w:val="222222"/>
          <w:sz w:val="24"/>
          <w:szCs w:val="24"/>
        </w:rPr>
      </w:pPr>
      <w:r w:rsidRPr="002A36C2">
        <w:rPr>
          <w:rFonts w:ascii="Times New Roman" w:hAnsi="Times New Roman"/>
          <w:color w:val="222222"/>
          <w:sz w:val="24"/>
          <w:szCs w:val="24"/>
        </w:rPr>
        <w:t xml:space="preserve">Adicionalmente, se ha avanzado en la gestión de cuatro nuevos proyectos asociativos que se encuentran en curso para suscripción de carta de intención que formalice su vinculación, de los cuales 3 son producto de la aplicación de declaratoria de desarrollo prioritario y </w:t>
      </w:r>
      <w:r>
        <w:rPr>
          <w:rFonts w:ascii="Times New Roman" w:hAnsi="Times New Roman"/>
          <w:color w:val="222222"/>
          <w:sz w:val="24"/>
          <w:szCs w:val="24"/>
        </w:rPr>
        <w:t>uno es un</w:t>
      </w:r>
      <w:r w:rsidRPr="002A36C2">
        <w:rPr>
          <w:rFonts w:ascii="Times New Roman" w:hAnsi="Times New Roman"/>
          <w:color w:val="222222"/>
          <w:sz w:val="24"/>
          <w:szCs w:val="24"/>
        </w:rPr>
        <w:t xml:space="preserve"> plan parcial.</w:t>
      </w:r>
    </w:p>
    <w:p w14:paraId="1DBF10F7" w14:textId="77777777" w:rsidR="004D3D5E" w:rsidRDefault="004D3D5E" w:rsidP="004D3D5E">
      <w:pPr>
        <w:rPr>
          <w:rFonts w:ascii="Times New Roman" w:hAnsi="Times New Roman"/>
          <w:color w:val="222222"/>
          <w:sz w:val="24"/>
          <w:szCs w:val="24"/>
        </w:rPr>
      </w:pPr>
    </w:p>
    <w:p w14:paraId="45FA8A94" w14:textId="77777777" w:rsidR="004D3D5E" w:rsidRPr="00F86C96" w:rsidRDefault="004D3D5E" w:rsidP="00F86C96">
      <w:pPr>
        <w:pStyle w:val="Prrafodelista"/>
        <w:numPr>
          <w:ilvl w:val="0"/>
          <w:numId w:val="11"/>
        </w:numPr>
        <w:rPr>
          <w:rFonts w:ascii="Times New Roman" w:hAnsi="Times New Roman"/>
          <w:b/>
          <w:color w:val="222222"/>
          <w:sz w:val="24"/>
          <w:szCs w:val="24"/>
        </w:rPr>
      </w:pPr>
      <w:r w:rsidRPr="00F86C96">
        <w:rPr>
          <w:rFonts w:ascii="Times New Roman" w:hAnsi="Times New Roman"/>
          <w:b/>
          <w:color w:val="222222"/>
          <w:sz w:val="24"/>
          <w:szCs w:val="24"/>
        </w:rPr>
        <w:t>Formulación de proyectos de renovación urbana priorizados</w:t>
      </w:r>
    </w:p>
    <w:p w14:paraId="37A3281B" w14:textId="77777777" w:rsidR="004D3D5E" w:rsidRDefault="004D3D5E" w:rsidP="004D3D5E">
      <w:pPr>
        <w:autoSpaceDE w:val="0"/>
        <w:autoSpaceDN w:val="0"/>
        <w:adjustRightInd w:val="0"/>
        <w:rPr>
          <w:rFonts w:ascii="Times New Roman" w:eastAsiaTheme="minorHAnsi" w:hAnsi="Times New Roman"/>
          <w:sz w:val="24"/>
          <w:szCs w:val="24"/>
          <w:lang w:val="es-CO" w:eastAsia="en-US"/>
        </w:rPr>
      </w:pPr>
    </w:p>
    <w:p w14:paraId="09467392" w14:textId="77777777" w:rsidR="004D3D5E" w:rsidRDefault="004D3D5E" w:rsidP="004D3D5E">
      <w:pPr>
        <w:autoSpaceDE w:val="0"/>
        <w:autoSpaceDN w:val="0"/>
        <w:adjustRightInd w:val="0"/>
        <w:rPr>
          <w:rFonts w:ascii="Times New Roman" w:eastAsiaTheme="minorHAnsi" w:hAnsi="Times New Roman"/>
          <w:sz w:val="24"/>
          <w:szCs w:val="24"/>
          <w:lang w:val="es-CO" w:eastAsia="en-US"/>
        </w:rPr>
      </w:pPr>
      <w:r>
        <w:rPr>
          <w:rFonts w:ascii="Times New Roman" w:eastAsiaTheme="minorHAnsi" w:hAnsi="Times New Roman"/>
          <w:sz w:val="24"/>
          <w:szCs w:val="24"/>
          <w:lang w:val="es-CO" w:eastAsia="en-US"/>
        </w:rPr>
        <w:t>Se adelantó la gestión</w:t>
      </w:r>
      <w:r w:rsidRPr="003D419B">
        <w:rPr>
          <w:rFonts w:ascii="Times New Roman" w:eastAsiaTheme="minorHAnsi" w:hAnsi="Times New Roman"/>
          <w:sz w:val="24"/>
          <w:szCs w:val="24"/>
          <w:lang w:val="es-CO" w:eastAsia="en-US"/>
        </w:rPr>
        <w:t xml:space="preserve"> </w:t>
      </w:r>
      <w:r>
        <w:rPr>
          <w:rFonts w:ascii="Times New Roman" w:eastAsiaTheme="minorHAnsi" w:hAnsi="Times New Roman"/>
          <w:sz w:val="24"/>
          <w:szCs w:val="24"/>
          <w:lang w:val="es-CO" w:eastAsia="en-US"/>
        </w:rPr>
        <w:t>en el Proyecto Fábrica de Bavari</w:t>
      </w:r>
      <w:r w:rsidRPr="003D419B">
        <w:rPr>
          <w:rFonts w:ascii="Times New Roman" w:eastAsiaTheme="minorHAnsi" w:hAnsi="Times New Roman"/>
          <w:sz w:val="24"/>
          <w:szCs w:val="24"/>
          <w:lang w:val="es-CO" w:eastAsia="en-US"/>
        </w:rPr>
        <w:t>a (Resolución 1873 de 2016, de Viabilidad del Proyecto del plan parcial Renovación urbana) y el Proyecto Usme Central -Polígono 2, del cual se radicó ante la SDP, el do</w:t>
      </w:r>
      <w:r>
        <w:rPr>
          <w:rFonts w:ascii="Times New Roman" w:eastAsiaTheme="minorHAnsi" w:hAnsi="Times New Roman"/>
          <w:sz w:val="24"/>
          <w:szCs w:val="24"/>
          <w:lang w:val="es-CO" w:eastAsia="en-US"/>
        </w:rPr>
        <w:t xml:space="preserve">cumento técnico de soporte y la </w:t>
      </w:r>
      <w:r w:rsidRPr="003D419B">
        <w:rPr>
          <w:rFonts w:ascii="Times New Roman" w:eastAsiaTheme="minorHAnsi" w:hAnsi="Times New Roman"/>
          <w:sz w:val="24"/>
          <w:szCs w:val="24"/>
          <w:lang w:val="es-CO" w:eastAsia="en-US"/>
        </w:rPr>
        <w:t>cartografía.</w:t>
      </w:r>
      <w:r>
        <w:rPr>
          <w:rFonts w:ascii="Times New Roman" w:eastAsiaTheme="minorHAnsi" w:hAnsi="Times New Roman"/>
          <w:sz w:val="24"/>
          <w:szCs w:val="24"/>
          <w:lang w:val="es-CO" w:eastAsia="en-US"/>
        </w:rPr>
        <w:t xml:space="preserve"> </w:t>
      </w:r>
      <w:r w:rsidRPr="003D419B">
        <w:rPr>
          <w:rFonts w:ascii="Times New Roman" w:eastAsiaTheme="minorHAnsi" w:hAnsi="Times New Roman"/>
          <w:sz w:val="24"/>
          <w:szCs w:val="24"/>
          <w:lang w:val="es-CO" w:eastAsia="en-US"/>
        </w:rPr>
        <w:t>Adicionalmente se avanzó en la etapa preparativa de formulación de los proyectos San Bernardo (Polígono 1), El Edén El Descanso, Ciudad Rio, Gibraltar, Estoril y Alcázares.</w:t>
      </w:r>
    </w:p>
    <w:p w14:paraId="6ECC60C2" w14:textId="77777777" w:rsidR="004D3D5E" w:rsidRDefault="004D3D5E" w:rsidP="004D3D5E">
      <w:pPr>
        <w:autoSpaceDE w:val="0"/>
        <w:autoSpaceDN w:val="0"/>
        <w:adjustRightInd w:val="0"/>
        <w:rPr>
          <w:rFonts w:ascii="Times New Roman" w:eastAsiaTheme="minorHAnsi" w:hAnsi="Times New Roman"/>
          <w:sz w:val="24"/>
          <w:szCs w:val="24"/>
          <w:lang w:val="es-CO" w:eastAsia="en-US"/>
        </w:rPr>
      </w:pPr>
    </w:p>
    <w:p w14:paraId="31A8DF93" w14:textId="77777777" w:rsidR="004D3D5E" w:rsidRPr="00F86C96" w:rsidRDefault="004D3D5E" w:rsidP="00F86C96">
      <w:pPr>
        <w:pStyle w:val="Prrafodelista"/>
        <w:numPr>
          <w:ilvl w:val="0"/>
          <w:numId w:val="11"/>
        </w:numPr>
        <w:autoSpaceDE w:val="0"/>
        <w:autoSpaceDN w:val="0"/>
        <w:adjustRightInd w:val="0"/>
        <w:jc w:val="left"/>
        <w:rPr>
          <w:rFonts w:ascii="Times New Roman" w:eastAsiaTheme="minorHAnsi" w:hAnsi="Times New Roman"/>
          <w:b/>
          <w:sz w:val="24"/>
          <w:szCs w:val="24"/>
          <w:lang w:val="es-CO" w:eastAsia="en-US"/>
        </w:rPr>
      </w:pPr>
      <w:r w:rsidRPr="00F86C96">
        <w:rPr>
          <w:rFonts w:ascii="Times New Roman" w:eastAsiaTheme="minorHAnsi" w:hAnsi="Times New Roman"/>
          <w:b/>
          <w:sz w:val="24"/>
          <w:szCs w:val="24"/>
          <w:lang w:val="es-CO" w:eastAsia="en-US"/>
        </w:rPr>
        <w:t>Manzanas gestionadas para proyectos de renovación urbana</w:t>
      </w:r>
    </w:p>
    <w:p w14:paraId="3695CFDD" w14:textId="77777777" w:rsidR="004D3D5E" w:rsidRPr="00C95DA5" w:rsidRDefault="004D3D5E" w:rsidP="004D3D5E">
      <w:pPr>
        <w:autoSpaceDE w:val="0"/>
        <w:autoSpaceDN w:val="0"/>
        <w:adjustRightInd w:val="0"/>
        <w:jc w:val="left"/>
        <w:rPr>
          <w:rFonts w:ascii="Times New Roman" w:eastAsiaTheme="minorHAnsi" w:hAnsi="Times New Roman"/>
          <w:b/>
          <w:sz w:val="24"/>
          <w:szCs w:val="24"/>
          <w:lang w:val="es-CO" w:eastAsia="en-US"/>
        </w:rPr>
      </w:pPr>
    </w:p>
    <w:p w14:paraId="2C541360" w14:textId="77777777" w:rsidR="004D3D5E" w:rsidRPr="00A86D96" w:rsidRDefault="004D3D5E" w:rsidP="00F86C96">
      <w:pPr>
        <w:autoSpaceDE w:val="0"/>
        <w:autoSpaceDN w:val="0"/>
        <w:adjustRightInd w:val="0"/>
        <w:ind w:left="426"/>
        <w:rPr>
          <w:rFonts w:ascii="Times New Roman" w:eastAsiaTheme="minorHAnsi" w:hAnsi="Times New Roman"/>
          <w:sz w:val="24"/>
          <w:szCs w:val="24"/>
          <w:lang w:val="es-CO" w:eastAsia="en-US"/>
        </w:rPr>
      </w:pPr>
      <w:r w:rsidRPr="00A86D96">
        <w:rPr>
          <w:rFonts w:ascii="Times New Roman" w:eastAsiaTheme="minorHAnsi" w:hAnsi="Times New Roman"/>
          <w:sz w:val="24"/>
          <w:szCs w:val="24"/>
          <w:lang w:val="es-CO" w:eastAsia="en-US"/>
        </w:rPr>
        <w:t>Se gestionó el sector Voto Nacional</w:t>
      </w:r>
      <w:r>
        <w:rPr>
          <w:rFonts w:ascii="Times New Roman" w:eastAsiaTheme="minorHAnsi" w:hAnsi="Times New Roman"/>
          <w:sz w:val="24"/>
          <w:szCs w:val="24"/>
          <w:lang w:val="es-CO" w:eastAsia="en-US"/>
        </w:rPr>
        <w:t>, con la expedición de</w:t>
      </w:r>
      <w:r w:rsidRPr="00A86D96">
        <w:rPr>
          <w:rFonts w:ascii="Times New Roman" w:eastAsiaTheme="minorHAnsi" w:hAnsi="Times New Roman"/>
          <w:sz w:val="24"/>
          <w:szCs w:val="24"/>
          <w:lang w:val="es-CO" w:eastAsia="en-US"/>
        </w:rPr>
        <w:t>l Decreto de Anunc</w:t>
      </w:r>
      <w:r>
        <w:rPr>
          <w:rFonts w:ascii="Times New Roman" w:eastAsiaTheme="minorHAnsi" w:hAnsi="Times New Roman"/>
          <w:sz w:val="24"/>
          <w:szCs w:val="24"/>
          <w:lang w:val="es-CO" w:eastAsia="en-US"/>
        </w:rPr>
        <w:t xml:space="preserve">io de Proyecto y Condiciones de </w:t>
      </w:r>
      <w:r w:rsidRPr="00A86D96">
        <w:rPr>
          <w:rFonts w:ascii="Times New Roman" w:eastAsiaTheme="minorHAnsi" w:hAnsi="Times New Roman"/>
          <w:sz w:val="24"/>
          <w:szCs w:val="24"/>
          <w:lang w:val="es-CO" w:eastAsia="en-US"/>
        </w:rPr>
        <w:t>Urgencia 397 de 2016, que m</w:t>
      </w:r>
      <w:r>
        <w:rPr>
          <w:rFonts w:ascii="Times New Roman" w:eastAsiaTheme="minorHAnsi" w:hAnsi="Times New Roman"/>
          <w:sz w:val="24"/>
          <w:szCs w:val="24"/>
          <w:lang w:val="es-CO" w:eastAsia="en-US"/>
        </w:rPr>
        <w:t>odificó el Decreto 145 de 2013. Así mismo s</w:t>
      </w:r>
      <w:r w:rsidRPr="00A86D96">
        <w:rPr>
          <w:rFonts w:ascii="Times New Roman" w:eastAsiaTheme="minorHAnsi" w:hAnsi="Times New Roman"/>
          <w:sz w:val="24"/>
          <w:szCs w:val="24"/>
          <w:lang w:val="es-CO" w:eastAsia="en-US"/>
        </w:rPr>
        <w:t xml:space="preserve">e elaboraron 61 estudios de títulos que conforman parte de las </w:t>
      </w:r>
      <w:r>
        <w:rPr>
          <w:rFonts w:ascii="Times New Roman" w:eastAsiaTheme="minorHAnsi" w:hAnsi="Times New Roman"/>
          <w:sz w:val="24"/>
          <w:szCs w:val="24"/>
          <w:lang w:val="es-CO" w:eastAsia="en-US"/>
        </w:rPr>
        <w:t>m</w:t>
      </w:r>
      <w:r w:rsidRPr="00A86D96">
        <w:rPr>
          <w:rFonts w:ascii="Times New Roman" w:eastAsiaTheme="minorHAnsi" w:hAnsi="Times New Roman"/>
          <w:sz w:val="24"/>
          <w:szCs w:val="24"/>
          <w:lang w:val="es-CO" w:eastAsia="en-US"/>
        </w:rPr>
        <w:t xml:space="preserve">anzanas que se encuentran en trámite de adquisición y se elaboraron 13 </w:t>
      </w:r>
      <w:r>
        <w:rPr>
          <w:rFonts w:ascii="Times New Roman" w:eastAsiaTheme="minorHAnsi" w:hAnsi="Times New Roman"/>
          <w:sz w:val="24"/>
          <w:szCs w:val="24"/>
          <w:lang w:val="es-CO" w:eastAsia="en-US"/>
        </w:rPr>
        <w:t>r</w:t>
      </w:r>
      <w:r w:rsidRPr="00A86D96">
        <w:rPr>
          <w:rFonts w:ascii="Times New Roman" w:eastAsiaTheme="minorHAnsi" w:hAnsi="Times New Roman"/>
          <w:sz w:val="24"/>
          <w:szCs w:val="24"/>
          <w:lang w:val="es-CO" w:eastAsia="en-US"/>
        </w:rPr>
        <w:t>esoluciones de ofertas de com</w:t>
      </w:r>
      <w:r>
        <w:rPr>
          <w:rFonts w:ascii="Times New Roman" w:eastAsiaTheme="minorHAnsi" w:hAnsi="Times New Roman"/>
          <w:sz w:val="24"/>
          <w:szCs w:val="24"/>
          <w:lang w:val="es-CO" w:eastAsia="en-US"/>
        </w:rPr>
        <w:t xml:space="preserve">pra con su respectivo oficio de </w:t>
      </w:r>
      <w:r w:rsidRPr="00A86D96">
        <w:rPr>
          <w:rFonts w:ascii="Times New Roman" w:eastAsiaTheme="minorHAnsi" w:hAnsi="Times New Roman"/>
          <w:sz w:val="24"/>
          <w:szCs w:val="24"/>
          <w:lang w:val="es-CO" w:eastAsia="en-US"/>
        </w:rPr>
        <w:t>citación para dar i</w:t>
      </w:r>
      <w:r>
        <w:rPr>
          <w:rFonts w:ascii="Times New Roman" w:eastAsiaTheme="minorHAnsi" w:hAnsi="Times New Roman"/>
          <w:sz w:val="24"/>
          <w:szCs w:val="24"/>
          <w:lang w:val="es-CO" w:eastAsia="en-US"/>
        </w:rPr>
        <w:t xml:space="preserve">nicio al proceso de adquisición </w:t>
      </w:r>
      <w:r w:rsidRPr="00A86D96">
        <w:rPr>
          <w:rFonts w:ascii="Times New Roman" w:eastAsiaTheme="minorHAnsi" w:hAnsi="Times New Roman"/>
          <w:sz w:val="24"/>
          <w:szCs w:val="24"/>
          <w:lang w:val="es-CO" w:eastAsia="en-US"/>
        </w:rPr>
        <w:t>de los predios del proyecto Voto Nacional.</w:t>
      </w:r>
    </w:p>
    <w:p w14:paraId="3078054B" w14:textId="77777777" w:rsidR="004D3D5E" w:rsidRPr="002A36C2" w:rsidRDefault="004D3D5E" w:rsidP="004D3D5E">
      <w:pPr>
        <w:pStyle w:val="Textoindependiente"/>
        <w:rPr>
          <w:rFonts w:ascii="Times New Roman" w:hAnsi="Times New Roman"/>
          <w:b/>
        </w:rPr>
      </w:pPr>
    </w:p>
    <w:p w14:paraId="076FE9AA" w14:textId="77777777" w:rsidR="004D3D5E" w:rsidRPr="002A36C2" w:rsidRDefault="004D3D5E" w:rsidP="00F86C96">
      <w:pPr>
        <w:pStyle w:val="Textoindependiente"/>
        <w:numPr>
          <w:ilvl w:val="0"/>
          <w:numId w:val="11"/>
        </w:numPr>
        <w:rPr>
          <w:rFonts w:ascii="Times New Roman" w:hAnsi="Times New Roman"/>
          <w:b/>
        </w:rPr>
      </w:pPr>
      <w:r w:rsidRPr="002A36C2">
        <w:rPr>
          <w:rFonts w:ascii="Times New Roman" w:hAnsi="Times New Roman"/>
          <w:b/>
        </w:rPr>
        <w:t xml:space="preserve">Gestión de intervenciones integrales de mejoramiento en los territorios priorizados </w:t>
      </w:r>
    </w:p>
    <w:p w14:paraId="6B63C2F2" w14:textId="77777777" w:rsidR="004D3D5E" w:rsidRPr="002A36C2" w:rsidRDefault="004D3D5E" w:rsidP="00F86C96">
      <w:pPr>
        <w:pStyle w:val="Textoindependiente"/>
        <w:ind w:left="720"/>
        <w:rPr>
          <w:rFonts w:ascii="Times New Roman" w:hAnsi="Times New Roman"/>
          <w:b/>
        </w:rPr>
      </w:pPr>
    </w:p>
    <w:p w14:paraId="6D3AB3D9" w14:textId="49C0845A" w:rsidR="004D3D5E" w:rsidRPr="002A36C2" w:rsidRDefault="004D3D5E" w:rsidP="00F86C96">
      <w:pPr>
        <w:ind w:left="426"/>
        <w:rPr>
          <w:rFonts w:ascii="Times New Roman" w:hAnsi="Times New Roman"/>
          <w:sz w:val="24"/>
          <w:szCs w:val="24"/>
        </w:rPr>
      </w:pPr>
      <w:r w:rsidRPr="002A36C2">
        <w:rPr>
          <w:rFonts w:ascii="Times New Roman" w:hAnsi="Times New Roman"/>
          <w:sz w:val="24"/>
          <w:szCs w:val="24"/>
          <w:lang w:val="es-ES"/>
        </w:rPr>
        <w:t xml:space="preserve">Durante el segundo semestre de 2016, con una inversión de más de $9.000 millones de pesos, </w:t>
      </w:r>
      <w:r w:rsidRPr="002A36C2">
        <w:rPr>
          <w:rFonts w:ascii="Times New Roman" w:hAnsi="Times New Roman"/>
          <w:sz w:val="24"/>
          <w:szCs w:val="24"/>
        </w:rPr>
        <w:t>se formularon tres intervenciones integrales en los territorios más deficitarios de las localidades de San Cristóbal y Ciudad Bolívar: i) Cerros Sur orientales, ii) Ciudad Bolívar Cable y iii) Ciudad Bolívar Soacha</w:t>
      </w:r>
      <w:r>
        <w:rPr>
          <w:rFonts w:ascii="Times New Roman" w:hAnsi="Times New Roman"/>
          <w:sz w:val="24"/>
          <w:szCs w:val="24"/>
        </w:rPr>
        <w:t>. Para cada una de estas intervenciones integrales</w:t>
      </w:r>
      <w:r w:rsidRPr="002A36C2">
        <w:rPr>
          <w:rFonts w:ascii="Times New Roman" w:hAnsi="Times New Roman"/>
          <w:sz w:val="24"/>
          <w:szCs w:val="24"/>
        </w:rPr>
        <w:t xml:space="preserve"> se cuenta con el plan de acción</w:t>
      </w:r>
      <w:r>
        <w:rPr>
          <w:rFonts w:ascii="Times New Roman" w:hAnsi="Times New Roman"/>
          <w:sz w:val="24"/>
          <w:szCs w:val="24"/>
        </w:rPr>
        <w:t>; adicionalmente</w:t>
      </w:r>
      <w:r w:rsidRPr="002A36C2">
        <w:rPr>
          <w:rFonts w:ascii="Times New Roman" w:hAnsi="Times New Roman"/>
          <w:sz w:val="24"/>
          <w:szCs w:val="24"/>
        </w:rPr>
        <w:t xml:space="preserve"> se aprobó interinstitucionalmente el plan de acción del territorio con oportunidad Cerros Sur Orientales, Intervención Integral Alto Fucha</w:t>
      </w:r>
      <w:r w:rsidRPr="00327024">
        <w:rPr>
          <w:rFonts w:ascii="Times New Roman" w:hAnsi="Times New Roman"/>
          <w:sz w:val="24"/>
          <w:szCs w:val="24"/>
        </w:rPr>
        <w:t xml:space="preserve">. </w:t>
      </w:r>
    </w:p>
    <w:p w14:paraId="00128871" w14:textId="77777777" w:rsidR="004D3D5E" w:rsidRPr="002A36C2" w:rsidRDefault="004D3D5E" w:rsidP="00F86C96">
      <w:pPr>
        <w:ind w:left="426"/>
        <w:rPr>
          <w:rFonts w:ascii="Times New Roman" w:hAnsi="Times New Roman"/>
          <w:sz w:val="24"/>
          <w:szCs w:val="24"/>
        </w:rPr>
      </w:pPr>
    </w:p>
    <w:p w14:paraId="62090D39" w14:textId="77777777" w:rsidR="004D3D5E" w:rsidRDefault="004D3D5E" w:rsidP="00F86C96">
      <w:pPr>
        <w:ind w:left="426"/>
        <w:rPr>
          <w:rFonts w:ascii="Times New Roman" w:hAnsi="Times New Roman"/>
          <w:sz w:val="24"/>
          <w:szCs w:val="24"/>
        </w:rPr>
      </w:pPr>
      <w:r w:rsidRPr="00101729">
        <w:rPr>
          <w:rFonts w:ascii="Times New Roman" w:hAnsi="Times New Roman"/>
          <w:sz w:val="24"/>
          <w:szCs w:val="24"/>
        </w:rPr>
        <w:t>Por medio de estas intervenciones se busca mejorar las condiciones de vida de las personas que habitan los T</w:t>
      </w:r>
      <w:r>
        <w:rPr>
          <w:rFonts w:ascii="Times New Roman" w:hAnsi="Times New Roman"/>
          <w:sz w:val="24"/>
          <w:szCs w:val="24"/>
        </w:rPr>
        <w:t xml:space="preserve">erritorios con oportunidad, </w:t>
      </w:r>
      <w:r w:rsidRPr="00101729">
        <w:rPr>
          <w:rFonts w:ascii="Times New Roman" w:hAnsi="Times New Roman"/>
          <w:sz w:val="24"/>
          <w:szCs w:val="24"/>
        </w:rPr>
        <w:t>los cuales presentan mayores carencias físicas</w:t>
      </w:r>
      <w:r>
        <w:rPr>
          <w:rFonts w:ascii="Times New Roman" w:hAnsi="Times New Roman"/>
          <w:sz w:val="24"/>
          <w:szCs w:val="24"/>
        </w:rPr>
        <w:t xml:space="preserve"> en vivienda y entorno urbano, </w:t>
      </w:r>
      <w:r w:rsidRPr="00101729">
        <w:rPr>
          <w:rFonts w:ascii="Times New Roman" w:hAnsi="Times New Roman"/>
          <w:sz w:val="24"/>
          <w:szCs w:val="24"/>
        </w:rPr>
        <w:t>benefi</w:t>
      </w:r>
      <w:r>
        <w:rPr>
          <w:rFonts w:ascii="Times New Roman" w:hAnsi="Times New Roman"/>
          <w:sz w:val="24"/>
          <w:szCs w:val="24"/>
        </w:rPr>
        <w:t>ciando</w:t>
      </w:r>
      <w:r w:rsidRPr="00101729">
        <w:rPr>
          <w:rFonts w:ascii="Times New Roman" w:hAnsi="Times New Roman"/>
          <w:sz w:val="24"/>
          <w:szCs w:val="24"/>
        </w:rPr>
        <w:t xml:space="preserve"> a 6.233 personas de los Territorios con Oportunidad -TCO así: 1.043 personas del TCO Cerros Sur Orientales (532 mujeres- 511 hombres), 3.350 personas del TCO Ciudad Bolívar Cable (1.708 mujeres- 1642 hombres) y 1.840 personas del TCO Ciudad Bolívar Soacha ( 938 mujere</w:t>
      </w:r>
      <w:r>
        <w:rPr>
          <w:rFonts w:ascii="Times New Roman" w:hAnsi="Times New Roman"/>
          <w:sz w:val="24"/>
          <w:szCs w:val="24"/>
        </w:rPr>
        <w:t>s -902 hombres).</w:t>
      </w:r>
    </w:p>
    <w:p w14:paraId="104D2A10" w14:textId="77777777" w:rsidR="004D3D5E" w:rsidRDefault="004D3D5E" w:rsidP="00F86C96">
      <w:pPr>
        <w:ind w:left="426"/>
        <w:rPr>
          <w:rFonts w:ascii="Times New Roman" w:hAnsi="Times New Roman"/>
          <w:sz w:val="24"/>
          <w:szCs w:val="24"/>
        </w:rPr>
      </w:pPr>
    </w:p>
    <w:p w14:paraId="7B536D91" w14:textId="77777777" w:rsidR="004D3D5E" w:rsidRDefault="004D3D5E" w:rsidP="00F86C96">
      <w:pPr>
        <w:ind w:left="426"/>
        <w:rPr>
          <w:rFonts w:ascii="Times New Roman" w:hAnsi="Times New Roman"/>
          <w:sz w:val="24"/>
          <w:szCs w:val="24"/>
        </w:rPr>
      </w:pPr>
      <w:r>
        <w:rPr>
          <w:rFonts w:ascii="Times New Roman" w:hAnsi="Times New Roman"/>
          <w:sz w:val="24"/>
          <w:szCs w:val="24"/>
        </w:rPr>
        <w:t>En materia de subsidios de mejoramiento de vivienda, s</w:t>
      </w:r>
      <w:r w:rsidRPr="00810684">
        <w:rPr>
          <w:rFonts w:ascii="Times New Roman" w:hAnsi="Times New Roman"/>
          <w:sz w:val="24"/>
          <w:szCs w:val="24"/>
        </w:rPr>
        <w:t>e firmó el Convenio No. 496 de 2016, con la Caja de la Vivienda Popular, para la estructuración de 3.300 proyectos de mejoramiento de vivienda, con el fin de iniciar ejecución en el 2017.</w:t>
      </w:r>
    </w:p>
    <w:p w14:paraId="4A9F5800" w14:textId="77777777" w:rsidR="004D3D5E" w:rsidRPr="00101729" w:rsidRDefault="004D3D5E" w:rsidP="00F86C96">
      <w:pPr>
        <w:ind w:left="426"/>
        <w:rPr>
          <w:rFonts w:ascii="Times New Roman" w:hAnsi="Times New Roman"/>
          <w:sz w:val="24"/>
          <w:szCs w:val="24"/>
        </w:rPr>
      </w:pPr>
    </w:p>
    <w:p w14:paraId="5DFFC972" w14:textId="79A24B95" w:rsidR="004D3D5E" w:rsidRPr="00810684" w:rsidRDefault="004D3D5E" w:rsidP="00F86C96">
      <w:pPr>
        <w:ind w:left="426"/>
        <w:rPr>
          <w:rFonts w:ascii="Times New Roman" w:hAnsi="Times New Roman"/>
          <w:sz w:val="24"/>
          <w:szCs w:val="24"/>
        </w:rPr>
      </w:pPr>
      <w:r>
        <w:rPr>
          <w:rFonts w:ascii="Times New Roman" w:hAnsi="Times New Roman"/>
          <w:sz w:val="24"/>
          <w:szCs w:val="24"/>
        </w:rPr>
        <w:t>Por otra parte, s</w:t>
      </w:r>
      <w:r w:rsidRPr="00810684">
        <w:rPr>
          <w:rFonts w:ascii="Times New Roman" w:hAnsi="Times New Roman"/>
          <w:sz w:val="24"/>
          <w:szCs w:val="24"/>
        </w:rPr>
        <w:t xml:space="preserve">e puso en marcha la estrategia Habitarte: Barrios con vida, color y arte, la cual consiste en pintar las fachadas de las viviendas, dando así un nuevo aspecto y mejorando el entorno del barrio. Por medio de esta </w:t>
      </w:r>
      <w:r>
        <w:rPr>
          <w:rFonts w:ascii="Times New Roman" w:hAnsi="Times New Roman"/>
          <w:sz w:val="24"/>
          <w:szCs w:val="24"/>
        </w:rPr>
        <w:t>estrategia</w:t>
      </w:r>
      <w:r w:rsidRPr="00810684">
        <w:rPr>
          <w:rFonts w:ascii="Times New Roman" w:hAnsi="Times New Roman"/>
          <w:sz w:val="24"/>
          <w:szCs w:val="24"/>
        </w:rPr>
        <w:t xml:space="preserve"> se intervinieron 3.945 </w:t>
      </w:r>
      <w:r>
        <w:rPr>
          <w:rFonts w:ascii="Times New Roman" w:hAnsi="Times New Roman"/>
          <w:sz w:val="24"/>
          <w:szCs w:val="24"/>
        </w:rPr>
        <w:t>fachadas</w:t>
      </w:r>
      <w:r w:rsidRPr="00810684">
        <w:rPr>
          <w:rFonts w:ascii="Times New Roman" w:hAnsi="Times New Roman"/>
          <w:sz w:val="24"/>
          <w:szCs w:val="24"/>
        </w:rPr>
        <w:t xml:space="preserve"> así (1.500 en la localidad </w:t>
      </w:r>
      <w:r>
        <w:rPr>
          <w:rFonts w:ascii="Times New Roman" w:hAnsi="Times New Roman"/>
          <w:sz w:val="24"/>
          <w:szCs w:val="24"/>
        </w:rPr>
        <w:t xml:space="preserve">de San Cristóbal y 2.445 </w:t>
      </w:r>
      <w:r w:rsidRPr="00810684">
        <w:rPr>
          <w:rFonts w:ascii="Times New Roman" w:hAnsi="Times New Roman"/>
          <w:sz w:val="24"/>
          <w:szCs w:val="24"/>
        </w:rPr>
        <w:t>en la localidad de Ciudad Bolívar).</w:t>
      </w:r>
      <w:r>
        <w:rPr>
          <w:rFonts w:ascii="Times New Roman" w:hAnsi="Times New Roman"/>
          <w:sz w:val="24"/>
          <w:szCs w:val="24"/>
        </w:rPr>
        <w:t xml:space="preserve"> </w:t>
      </w:r>
    </w:p>
    <w:p w14:paraId="38E00543" w14:textId="77777777" w:rsidR="004D3D5E" w:rsidRDefault="004D3D5E" w:rsidP="00F86C96">
      <w:pPr>
        <w:ind w:left="426"/>
        <w:rPr>
          <w:rFonts w:ascii="Times New Roman" w:hAnsi="Times New Roman"/>
          <w:sz w:val="24"/>
          <w:szCs w:val="24"/>
        </w:rPr>
      </w:pPr>
    </w:p>
    <w:p w14:paraId="0536B5EF" w14:textId="623A79A1" w:rsidR="004D3D5E" w:rsidRPr="006420B9" w:rsidRDefault="004D3D5E" w:rsidP="00F86C96">
      <w:pPr>
        <w:ind w:left="426"/>
        <w:rPr>
          <w:rFonts w:ascii="Times New Roman" w:hAnsi="Times New Roman"/>
          <w:sz w:val="24"/>
          <w:szCs w:val="24"/>
        </w:rPr>
      </w:pPr>
      <w:r w:rsidRPr="006420B9">
        <w:rPr>
          <w:rFonts w:ascii="Times New Roman" w:hAnsi="Times New Roman"/>
          <w:sz w:val="24"/>
          <w:szCs w:val="24"/>
        </w:rPr>
        <w:t xml:space="preserve">Adicionalmente la SDHT conformó y radicó seis expedientes de legalización urbanística ante la SDP. Una vez culminado el proceso de legalización por parte de la SDP, se beneficiaran 1.117 personas: 21 personas de la localidad de Bosa (11 mujeres-10 hombres), 852 personas de la localidad de Chapinero (443 mujeres-409 hombres), 119 personas de la localidad de San Cristóbal (62 mujeres- 57 hombres) y 131 personas de la localidad de Usaquén (68 mujeres-63 hombres). </w:t>
      </w:r>
    </w:p>
    <w:p w14:paraId="1EEE3618" w14:textId="77777777" w:rsidR="004D3D5E" w:rsidRPr="006420B9" w:rsidRDefault="004D3D5E" w:rsidP="00F86C96">
      <w:pPr>
        <w:ind w:left="426"/>
        <w:rPr>
          <w:rFonts w:ascii="Times New Roman" w:hAnsi="Times New Roman"/>
          <w:sz w:val="24"/>
          <w:szCs w:val="24"/>
        </w:rPr>
      </w:pPr>
    </w:p>
    <w:p w14:paraId="339DE6E6" w14:textId="785901E8" w:rsidR="004D3D5E" w:rsidRPr="006420B9" w:rsidRDefault="004D3D5E" w:rsidP="00F86C96">
      <w:pPr>
        <w:ind w:left="426"/>
        <w:rPr>
          <w:rFonts w:ascii="Times New Roman" w:hAnsi="Times New Roman"/>
          <w:sz w:val="24"/>
          <w:szCs w:val="24"/>
        </w:rPr>
      </w:pPr>
      <w:r w:rsidRPr="006420B9">
        <w:rPr>
          <w:rFonts w:ascii="Times New Roman" w:hAnsi="Times New Roman"/>
          <w:sz w:val="24"/>
          <w:szCs w:val="24"/>
        </w:rPr>
        <w:t xml:space="preserve">Así mismo con el fin de corregir falencias de los procesos de legalización anteriores, y de recuperar zonas de espacio público para el beneficio colectivo del barrio regularizado, la SDHT conformó y radicó cinco expedientes de regularización urbanística ante la SDP. Cuando se terminen estos cinco procesos de regularización se beneficiarán 11.094 personas: 3.181 personas de la localidad de Suba (1.622 mujeres-1559 - El Carmen), 2.679 personas de la localidad de suba (1.362 mujeres-1.309 hombres - Rincón), 746 persona de la localidad de Bosa (380 mujeres-366 hombres), 3035 personas de la localidad Usme (1.548 mujeres-1.487 hombres) y 1453 personas de la localidad Ciudad Bolívar (741 mujeres-712 hombres).  </w:t>
      </w:r>
    </w:p>
    <w:p w14:paraId="4BAFD787" w14:textId="77777777" w:rsidR="004D3D5E" w:rsidRDefault="004D3D5E" w:rsidP="004D3D5E">
      <w:pPr>
        <w:pStyle w:val="Textoindependiente"/>
        <w:rPr>
          <w:rFonts w:ascii="Times New Roman" w:hAnsi="Times New Roman"/>
          <w:b/>
          <w:lang w:val="es-ES_tradnl"/>
        </w:rPr>
      </w:pPr>
    </w:p>
    <w:p w14:paraId="33EC24F2" w14:textId="77777777" w:rsidR="004D3D5E" w:rsidRDefault="004D3D5E" w:rsidP="00F86C96">
      <w:pPr>
        <w:pStyle w:val="Textoindependiente"/>
        <w:numPr>
          <w:ilvl w:val="0"/>
          <w:numId w:val="11"/>
        </w:numPr>
        <w:rPr>
          <w:rFonts w:ascii="Times New Roman" w:hAnsi="Times New Roman"/>
          <w:b/>
          <w:lang w:val="es-ES_tradnl"/>
        </w:rPr>
      </w:pPr>
      <w:r>
        <w:rPr>
          <w:rFonts w:ascii="Times New Roman" w:hAnsi="Times New Roman"/>
          <w:b/>
          <w:lang w:val="es-ES_tradnl"/>
        </w:rPr>
        <w:t>Desarrollo</w:t>
      </w:r>
      <w:r w:rsidRPr="00AE7243">
        <w:rPr>
          <w:rFonts w:ascii="Times New Roman" w:hAnsi="Times New Roman"/>
          <w:b/>
          <w:lang w:val="es-ES_tradnl"/>
        </w:rPr>
        <w:t xml:space="preserve"> </w:t>
      </w:r>
      <w:r>
        <w:rPr>
          <w:rFonts w:ascii="Times New Roman" w:hAnsi="Times New Roman"/>
          <w:b/>
          <w:lang w:val="es-ES_tradnl"/>
        </w:rPr>
        <w:t xml:space="preserve">de </w:t>
      </w:r>
      <w:r w:rsidRPr="00AE7243">
        <w:rPr>
          <w:rFonts w:ascii="Times New Roman" w:hAnsi="Times New Roman"/>
          <w:b/>
          <w:lang w:val="es-ES_tradnl"/>
        </w:rPr>
        <w:t xml:space="preserve"> intervenciones</w:t>
      </w:r>
      <w:r>
        <w:rPr>
          <w:rFonts w:ascii="Times New Roman" w:hAnsi="Times New Roman"/>
          <w:b/>
          <w:lang w:val="es-ES_tradnl"/>
        </w:rPr>
        <w:t xml:space="preserve"> priorizadas </w:t>
      </w:r>
      <w:r w:rsidRPr="00AE7243">
        <w:rPr>
          <w:rFonts w:ascii="Times New Roman" w:hAnsi="Times New Roman"/>
          <w:b/>
          <w:lang w:val="es-ES_tradnl"/>
        </w:rPr>
        <w:t>de mejoramiento</w:t>
      </w:r>
    </w:p>
    <w:p w14:paraId="055215A9" w14:textId="77777777" w:rsidR="004D3D5E" w:rsidRDefault="004D3D5E" w:rsidP="004D3D5E">
      <w:pPr>
        <w:pStyle w:val="Textoindependiente"/>
        <w:ind w:left="708"/>
        <w:rPr>
          <w:rFonts w:ascii="Times New Roman" w:hAnsi="Times New Roman"/>
          <w:b/>
          <w:lang w:val="es-ES_tradnl"/>
        </w:rPr>
      </w:pPr>
    </w:p>
    <w:p w14:paraId="39159B48" w14:textId="77777777" w:rsidR="004D3D5E" w:rsidRPr="003F403E" w:rsidRDefault="004D3D5E" w:rsidP="00F86C96">
      <w:pPr>
        <w:pStyle w:val="Textoindependiente"/>
        <w:ind w:left="426"/>
        <w:rPr>
          <w:rFonts w:ascii="Times New Roman" w:hAnsi="Times New Roman"/>
          <w:lang w:val="es-CO"/>
        </w:rPr>
      </w:pPr>
      <w:r w:rsidRPr="003F403E">
        <w:rPr>
          <w:rFonts w:ascii="Times New Roman" w:hAnsi="Times New Roman"/>
          <w:lang w:val="es-CO"/>
        </w:rPr>
        <w:t xml:space="preserve">Entre julio y diciembre de 2016, la Caja de Vivienda Popular adelantó los estudios de </w:t>
      </w:r>
      <w:proofErr w:type="spellStart"/>
      <w:r w:rsidRPr="003F403E">
        <w:rPr>
          <w:rFonts w:ascii="Times New Roman" w:hAnsi="Times New Roman"/>
          <w:lang w:val="es-CO"/>
        </w:rPr>
        <w:t>previabilidad</w:t>
      </w:r>
      <w:proofErr w:type="spellEnd"/>
      <w:r w:rsidRPr="003F403E">
        <w:rPr>
          <w:rFonts w:ascii="Times New Roman" w:hAnsi="Times New Roman"/>
          <w:lang w:val="es-CO"/>
        </w:rPr>
        <w:t xml:space="preserve"> y el proceso de contratación para las 27 intervenciones priorizadas por la Secretaría Distrital de Hábitat para la vigencia. Estas intervenciones hacen parte de la focalización en los Territorios con Oportunidad - TCO,  y la definición de Áreas de Intervenciones Integrales – II- y Áreas de Intervención Temprana –AIT-, las cuales definen los espacios donde deben ejecutarse los componentes de mejoramiento integral.</w:t>
      </w:r>
    </w:p>
    <w:p w14:paraId="0CF2FD6A" w14:textId="77777777" w:rsidR="004D3D5E" w:rsidRPr="003F403E" w:rsidRDefault="004D3D5E" w:rsidP="00F86C96">
      <w:pPr>
        <w:pStyle w:val="Textoindependiente"/>
        <w:ind w:left="426"/>
        <w:rPr>
          <w:rFonts w:ascii="Times New Roman" w:hAnsi="Times New Roman"/>
          <w:lang w:val="es-CO"/>
        </w:rPr>
      </w:pPr>
    </w:p>
    <w:p w14:paraId="60F08055" w14:textId="0F12FA46" w:rsidR="004D3D5E" w:rsidRPr="003F403E" w:rsidRDefault="004D3D5E" w:rsidP="00F86C96">
      <w:pPr>
        <w:pStyle w:val="Textoindependiente"/>
        <w:ind w:left="426"/>
        <w:rPr>
          <w:rFonts w:ascii="Times New Roman" w:hAnsi="Times New Roman"/>
          <w:lang w:val="es-CO"/>
        </w:rPr>
      </w:pPr>
      <w:r>
        <w:rPr>
          <w:rFonts w:ascii="Times New Roman" w:hAnsi="Times New Roman"/>
          <w:lang w:val="es-CO"/>
        </w:rPr>
        <w:t>Estas áreas e</w:t>
      </w:r>
      <w:r w:rsidRPr="003F403E">
        <w:rPr>
          <w:rFonts w:ascii="Times New Roman" w:hAnsi="Times New Roman"/>
          <w:lang w:val="es-CO"/>
        </w:rPr>
        <w:t xml:space="preserve">stán ubicadas en los </w:t>
      </w:r>
      <w:r>
        <w:rPr>
          <w:rFonts w:ascii="Times New Roman" w:hAnsi="Times New Roman"/>
          <w:lang w:val="es-CO"/>
        </w:rPr>
        <w:t>p</w:t>
      </w:r>
      <w:r w:rsidRPr="003F403E">
        <w:rPr>
          <w:rFonts w:ascii="Times New Roman" w:hAnsi="Times New Roman"/>
          <w:lang w:val="es-CO"/>
        </w:rPr>
        <w:t>royectos Caracolí, Compostela I y San Cristóbal, en las localidades de Ciudad Bolívar, Usme y San Cristóbal y corresponden a 24 segmentos viales y tres escaleras, con las siguientes especificaciones</w:t>
      </w:r>
      <w:r w:rsidRPr="00AE039B">
        <w:rPr>
          <w:rFonts w:ascii="Times New Roman" w:hAnsi="Times New Roman"/>
          <w:lang w:val="es-CO"/>
        </w:rPr>
        <w:t>:</w:t>
      </w:r>
    </w:p>
    <w:p w14:paraId="057818E5" w14:textId="77777777" w:rsidR="004D3D5E" w:rsidRPr="003F403E" w:rsidRDefault="004D3D5E" w:rsidP="00F86C96">
      <w:pPr>
        <w:pStyle w:val="Textoindependiente"/>
        <w:ind w:left="426"/>
        <w:rPr>
          <w:rFonts w:ascii="Times New Roman" w:hAnsi="Times New Roman"/>
          <w:lang w:val="es-CO"/>
        </w:rPr>
      </w:pPr>
    </w:p>
    <w:p w14:paraId="6B5FBEC3" w14:textId="77777777" w:rsidR="004D3D5E" w:rsidRPr="003F403E" w:rsidRDefault="004D3D5E" w:rsidP="008E5B73">
      <w:pPr>
        <w:pStyle w:val="Textoindependiente"/>
        <w:numPr>
          <w:ilvl w:val="0"/>
          <w:numId w:val="9"/>
        </w:numPr>
        <w:ind w:left="709"/>
        <w:rPr>
          <w:rFonts w:ascii="Times New Roman" w:hAnsi="Times New Roman"/>
          <w:lang w:val="es-CO"/>
        </w:rPr>
      </w:pPr>
      <w:r w:rsidRPr="003F403E">
        <w:rPr>
          <w:rFonts w:ascii="Times New Roman" w:hAnsi="Times New Roman"/>
          <w:lang w:val="es-CO"/>
        </w:rPr>
        <w:t>Proyecto  San Cristóbal</w:t>
      </w:r>
      <w:r>
        <w:rPr>
          <w:rFonts w:ascii="Times New Roman" w:hAnsi="Times New Roman"/>
          <w:lang w:val="es-CO"/>
        </w:rPr>
        <w:t xml:space="preserve">: </w:t>
      </w:r>
      <w:r w:rsidRPr="003F403E">
        <w:rPr>
          <w:rFonts w:ascii="Times New Roman" w:hAnsi="Times New Roman"/>
          <w:lang w:val="es-CO"/>
        </w:rPr>
        <w:t>11 ajustes a estudios y diseños + 11 obras de vías en espacios públicos a escala barrial</w:t>
      </w:r>
      <w:r>
        <w:rPr>
          <w:rFonts w:ascii="Times New Roman" w:hAnsi="Times New Roman"/>
          <w:lang w:val="es-CO"/>
        </w:rPr>
        <w:t>.</w:t>
      </w:r>
    </w:p>
    <w:p w14:paraId="53263A2C" w14:textId="77777777" w:rsidR="004D3D5E" w:rsidRPr="003F403E" w:rsidRDefault="004D3D5E" w:rsidP="008E5B73">
      <w:pPr>
        <w:pStyle w:val="Textoindependiente"/>
        <w:numPr>
          <w:ilvl w:val="0"/>
          <w:numId w:val="9"/>
        </w:numPr>
        <w:ind w:left="709"/>
        <w:rPr>
          <w:rFonts w:ascii="Times New Roman" w:hAnsi="Times New Roman"/>
          <w:lang w:val="es-CO"/>
        </w:rPr>
      </w:pPr>
      <w:r w:rsidRPr="003F403E">
        <w:rPr>
          <w:rFonts w:ascii="Times New Roman" w:hAnsi="Times New Roman"/>
          <w:lang w:val="es-CO"/>
        </w:rPr>
        <w:t>Proyecto  Compostela y Caracolí</w:t>
      </w:r>
      <w:r>
        <w:rPr>
          <w:rFonts w:ascii="Times New Roman" w:hAnsi="Times New Roman"/>
          <w:lang w:val="es-CO"/>
        </w:rPr>
        <w:t xml:space="preserve">: </w:t>
      </w:r>
      <w:r w:rsidRPr="003F403E">
        <w:rPr>
          <w:rFonts w:ascii="Times New Roman" w:hAnsi="Times New Roman"/>
          <w:lang w:val="es-CO"/>
        </w:rPr>
        <w:t>16  estudios y diseños + 13 obras de vías y 3 obras de escaleras en espacios públicos a escala barrial.</w:t>
      </w:r>
    </w:p>
    <w:p w14:paraId="7C928338" w14:textId="77777777" w:rsidR="004D3D5E" w:rsidRDefault="004D3D5E" w:rsidP="00F86C96">
      <w:pPr>
        <w:pStyle w:val="Textoindependiente"/>
        <w:ind w:left="426"/>
        <w:rPr>
          <w:rFonts w:ascii="Times New Roman" w:hAnsi="Times New Roman"/>
          <w:lang w:val="es-CO"/>
        </w:rPr>
      </w:pPr>
    </w:p>
    <w:p w14:paraId="1BC1085D" w14:textId="77777777" w:rsidR="004D3D5E" w:rsidRPr="003F403E" w:rsidRDefault="004D3D5E" w:rsidP="00F86C96">
      <w:pPr>
        <w:pStyle w:val="Textoindependiente"/>
        <w:ind w:left="426"/>
        <w:rPr>
          <w:rFonts w:ascii="Times New Roman" w:hAnsi="Times New Roman"/>
          <w:lang w:val="es-CO"/>
        </w:rPr>
      </w:pPr>
      <w:r w:rsidRPr="003F403E">
        <w:rPr>
          <w:rFonts w:ascii="Times New Roman" w:hAnsi="Times New Roman"/>
          <w:lang w:val="es-CO"/>
        </w:rPr>
        <w:t xml:space="preserve">La ejecución de estas obras permitirá beneficiar 6.793 habitantes de las siguientes </w:t>
      </w:r>
      <w:r>
        <w:rPr>
          <w:rFonts w:ascii="Times New Roman" w:hAnsi="Times New Roman"/>
          <w:lang w:val="es-CO"/>
        </w:rPr>
        <w:t>l</w:t>
      </w:r>
      <w:r w:rsidRPr="003F403E">
        <w:rPr>
          <w:rFonts w:ascii="Times New Roman" w:hAnsi="Times New Roman"/>
          <w:lang w:val="es-CO"/>
        </w:rPr>
        <w:t>ocalidades:</w:t>
      </w:r>
    </w:p>
    <w:p w14:paraId="576A8591" w14:textId="77777777" w:rsidR="004D3D5E" w:rsidRPr="003F403E" w:rsidRDefault="004D3D5E" w:rsidP="00F86C96">
      <w:pPr>
        <w:pStyle w:val="Textoindependiente"/>
        <w:ind w:left="1134"/>
        <w:rPr>
          <w:rFonts w:ascii="Times New Roman" w:hAnsi="Times New Roman"/>
          <w:lang w:val="es-CO"/>
        </w:rPr>
      </w:pPr>
    </w:p>
    <w:p w14:paraId="2C92E4D8" w14:textId="77777777" w:rsidR="004D3D5E" w:rsidRPr="003F403E" w:rsidRDefault="004D3D5E" w:rsidP="00F86C96">
      <w:pPr>
        <w:pStyle w:val="Textoindependiente"/>
        <w:numPr>
          <w:ilvl w:val="0"/>
          <w:numId w:val="10"/>
        </w:numPr>
        <w:ind w:left="1134"/>
        <w:rPr>
          <w:rFonts w:ascii="Times New Roman" w:hAnsi="Times New Roman"/>
          <w:lang w:val="es-CO"/>
        </w:rPr>
      </w:pPr>
      <w:r w:rsidRPr="003F403E">
        <w:rPr>
          <w:rFonts w:ascii="Times New Roman" w:hAnsi="Times New Roman"/>
          <w:lang w:val="es-CO"/>
        </w:rPr>
        <w:t>San Cristóbal</w:t>
      </w:r>
      <w:r>
        <w:rPr>
          <w:rFonts w:ascii="Times New Roman" w:hAnsi="Times New Roman"/>
          <w:lang w:val="es-CO"/>
        </w:rPr>
        <w:t xml:space="preserve">: </w:t>
      </w:r>
      <w:r w:rsidRPr="003F403E">
        <w:rPr>
          <w:rFonts w:ascii="Times New Roman" w:hAnsi="Times New Roman"/>
          <w:lang w:val="es-CO"/>
        </w:rPr>
        <w:t xml:space="preserve">con 1.128 habitantes directos y 3.000 habitantes indirectos. </w:t>
      </w:r>
    </w:p>
    <w:p w14:paraId="1A61EBCB" w14:textId="77777777" w:rsidR="004D3D5E" w:rsidRPr="003F403E" w:rsidRDefault="004D3D5E" w:rsidP="00F86C96">
      <w:pPr>
        <w:pStyle w:val="Textoindependiente"/>
        <w:numPr>
          <w:ilvl w:val="0"/>
          <w:numId w:val="10"/>
        </w:numPr>
        <w:ind w:left="1134"/>
        <w:rPr>
          <w:rFonts w:ascii="Times New Roman" w:hAnsi="Times New Roman"/>
          <w:lang w:val="es-CO"/>
        </w:rPr>
      </w:pPr>
      <w:r w:rsidRPr="003F403E">
        <w:rPr>
          <w:rFonts w:ascii="Times New Roman" w:hAnsi="Times New Roman"/>
          <w:lang w:val="es-CO"/>
        </w:rPr>
        <w:t>Ciudad Bolívar</w:t>
      </w:r>
      <w:r>
        <w:rPr>
          <w:rFonts w:ascii="Times New Roman" w:hAnsi="Times New Roman"/>
          <w:lang w:val="es-CO"/>
        </w:rPr>
        <w:t>:</w:t>
      </w:r>
      <w:r w:rsidRPr="003F403E">
        <w:rPr>
          <w:rFonts w:ascii="Times New Roman" w:hAnsi="Times New Roman"/>
          <w:lang w:val="es-CO"/>
        </w:rPr>
        <w:t xml:space="preserve"> con 354 habitantes directos y 2.046 habitantes indirectos.</w:t>
      </w:r>
    </w:p>
    <w:p w14:paraId="399F7C80" w14:textId="77777777" w:rsidR="004D3D5E" w:rsidRPr="003F403E" w:rsidRDefault="004D3D5E" w:rsidP="00F86C96">
      <w:pPr>
        <w:pStyle w:val="Textoindependiente"/>
        <w:numPr>
          <w:ilvl w:val="0"/>
          <w:numId w:val="10"/>
        </w:numPr>
        <w:ind w:left="1134"/>
        <w:rPr>
          <w:rFonts w:ascii="Times New Roman" w:hAnsi="Times New Roman"/>
          <w:lang w:val="es-CO"/>
        </w:rPr>
      </w:pPr>
      <w:r w:rsidRPr="003F403E">
        <w:rPr>
          <w:rFonts w:ascii="Times New Roman" w:hAnsi="Times New Roman"/>
          <w:lang w:val="es-CO"/>
        </w:rPr>
        <w:t>Usme</w:t>
      </w:r>
      <w:r>
        <w:rPr>
          <w:rFonts w:ascii="Times New Roman" w:hAnsi="Times New Roman"/>
          <w:lang w:val="es-CO"/>
        </w:rPr>
        <w:t>:</w:t>
      </w:r>
      <w:r w:rsidRPr="003F403E">
        <w:rPr>
          <w:rFonts w:ascii="Times New Roman" w:hAnsi="Times New Roman"/>
          <w:lang w:val="es-CO"/>
        </w:rPr>
        <w:t xml:space="preserve"> con 265 habitantes directos. </w:t>
      </w:r>
    </w:p>
    <w:p w14:paraId="3678055B" w14:textId="77777777" w:rsidR="004D3D5E" w:rsidRDefault="004D3D5E" w:rsidP="004D3D5E">
      <w:pPr>
        <w:pStyle w:val="Textoindependiente"/>
        <w:rPr>
          <w:rFonts w:ascii="Times New Roman" w:hAnsi="Times New Roman"/>
          <w:b/>
          <w:lang w:val="es-ES_tradnl"/>
        </w:rPr>
      </w:pPr>
    </w:p>
    <w:p w14:paraId="2CC0D65D" w14:textId="77777777" w:rsidR="00A55F1A" w:rsidRDefault="00A55F1A" w:rsidP="004D3D5E">
      <w:pPr>
        <w:pStyle w:val="Textoindependiente"/>
        <w:rPr>
          <w:rFonts w:ascii="Times New Roman" w:hAnsi="Times New Roman"/>
          <w:b/>
          <w:lang w:val="es-ES_tradnl"/>
        </w:rPr>
      </w:pPr>
    </w:p>
    <w:p w14:paraId="7CEC81A0" w14:textId="77777777" w:rsidR="00A55F1A" w:rsidRDefault="00A55F1A" w:rsidP="004D3D5E">
      <w:pPr>
        <w:pStyle w:val="Textoindependiente"/>
        <w:rPr>
          <w:rFonts w:ascii="Times New Roman" w:hAnsi="Times New Roman"/>
          <w:b/>
          <w:lang w:val="es-ES_tradnl"/>
        </w:rPr>
      </w:pPr>
    </w:p>
    <w:p w14:paraId="35723925" w14:textId="77777777" w:rsidR="004D3D5E" w:rsidRDefault="004D3D5E" w:rsidP="00F86C96">
      <w:pPr>
        <w:pStyle w:val="Textoindependiente"/>
        <w:numPr>
          <w:ilvl w:val="0"/>
          <w:numId w:val="11"/>
        </w:numPr>
        <w:rPr>
          <w:rFonts w:ascii="Times New Roman" w:hAnsi="Times New Roman"/>
          <w:b/>
          <w:lang w:val="es-ES_tradnl"/>
        </w:rPr>
      </w:pPr>
      <w:r>
        <w:rPr>
          <w:rFonts w:ascii="Times New Roman" w:hAnsi="Times New Roman"/>
          <w:b/>
          <w:lang w:val="es-ES_tradnl"/>
        </w:rPr>
        <w:t xml:space="preserve">Titulación de </w:t>
      </w:r>
      <w:r w:rsidRPr="00343386">
        <w:rPr>
          <w:rFonts w:ascii="Times New Roman" w:hAnsi="Times New Roman"/>
          <w:b/>
          <w:lang w:val="es-ES_tradnl"/>
        </w:rPr>
        <w:t>predios</w:t>
      </w:r>
    </w:p>
    <w:p w14:paraId="7A07060C" w14:textId="77777777" w:rsidR="004D3D5E" w:rsidRDefault="004D3D5E" w:rsidP="004D3D5E">
      <w:pPr>
        <w:pStyle w:val="Textoindependiente"/>
        <w:rPr>
          <w:rFonts w:ascii="Times New Roman" w:hAnsi="Times New Roman"/>
          <w:lang w:val="es-ES_tradnl"/>
        </w:rPr>
      </w:pPr>
    </w:p>
    <w:p w14:paraId="7A7FF0BE" w14:textId="2D470BEF" w:rsidR="004D3D5E" w:rsidRDefault="004D3D5E" w:rsidP="00F86C96">
      <w:pPr>
        <w:pStyle w:val="Textoindependiente"/>
        <w:ind w:left="426"/>
        <w:rPr>
          <w:rFonts w:ascii="Times New Roman" w:hAnsi="Times New Roman"/>
          <w:lang w:val="es-ES_tradnl"/>
        </w:rPr>
      </w:pPr>
      <w:r w:rsidRPr="00057C34">
        <w:rPr>
          <w:rFonts w:ascii="Times New Roman" w:hAnsi="Times New Roman"/>
        </w:rPr>
        <w:t xml:space="preserve">Como resultado de la asesoría técnica, jurídica y social brindada por la </w:t>
      </w:r>
      <w:r>
        <w:rPr>
          <w:rFonts w:ascii="Times New Roman" w:hAnsi="Times New Roman"/>
        </w:rPr>
        <w:t xml:space="preserve">CVP </w:t>
      </w:r>
      <w:r w:rsidRPr="00057C34">
        <w:rPr>
          <w:rFonts w:ascii="Times New Roman" w:hAnsi="Times New Roman"/>
        </w:rPr>
        <w:t>a las hogares de estrato 1 y 2, que se encuentran ocupando bienes fiscales o privados en barrios legalizados</w:t>
      </w:r>
      <w:r>
        <w:rPr>
          <w:rFonts w:ascii="Times New Roman" w:hAnsi="Times New Roman"/>
        </w:rPr>
        <w:t>,</w:t>
      </w:r>
      <w:r w:rsidRPr="00343386">
        <w:rPr>
          <w:rFonts w:ascii="Times New Roman" w:hAnsi="Times New Roman"/>
          <w:lang w:val="es-ES_tradnl"/>
        </w:rPr>
        <w:t xml:space="preserve"> </w:t>
      </w:r>
      <w:r>
        <w:rPr>
          <w:rFonts w:ascii="Times New Roman" w:hAnsi="Times New Roman"/>
          <w:lang w:val="es-ES_tradnl"/>
        </w:rPr>
        <w:t>s</w:t>
      </w:r>
      <w:r w:rsidRPr="00343386">
        <w:rPr>
          <w:rFonts w:ascii="Times New Roman" w:hAnsi="Times New Roman"/>
          <w:lang w:val="es-ES_tradnl"/>
        </w:rPr>
        <w:t>e logró la obtención de 1.001 títulos así</w:t>
      </w:r>
      <w:r>
        <w:rPr>
          <w:rFonts w:ascii="Times New Roman" w:hAnsi="Times New Roman"/>
          <w:lang w:val="es-ES_tradnl"/>
        </w:rPr>
        <w:t xml:space="preserve">: </w:t>
      </w:r>
      <w:r w:rsidRPr="00343386">
        <w:rPr>
          <w:rFonts w:ascii="Times New Roman" w:hAnsi="Times New Roman"/>
          <w:lang w:val="es-ES_tradnl"/>
        </w:rPr>
        <w:t xml:space="preserve">94 títulos se realizaron a través de mecanismos </w:t>
      </w:r>
      <w:r>
        <w:rPr>
          <w:rFonts w:ascii="Times New Roman" w:hAnsi="Times New Roman"/>
          <w:lang w:val="es-ES_tradnl"/>
        </w:rPr>
        <w:t>n</w:t>
      </w:r>
      <w:r w:rsidRPr="00343386">
        <w:rPr>
          <w:rFonts w:ascii="Times New Roman" w:hAnsi="Times New Roman"/>
          <w:lang w:val="es-ES_tradnl"/>
        </w:rPr>
        <w:t>otariales (</w:t>
      </w:r>
      <w:r>
        <w:rPr>
          <w:rFonts w:ascii="Times New Roman" w:hAnsi="Times New Roman"/>
          <w:lang w:val="es-ES_tradnl"/>
        </w:rPr>
        <w:t>e</w:t>
      </w:r>
      <w:r w:rsidRPr="00343386">
        <w:rPr>
          <w:rFonts w:ascii="Times New Roman" w:hAnsi="Times New Roman"/>
          <w:lang w:val="es-ES_tradnl"/>
        </w:rPr>
        <w:t xml:space="preserve">scrituración, </w:t>
      </w:r>
      <w:r>
        <w:rPr>
          <w:rFonts w:ascii="Times New Roman" w:hAnsi="Times New Roman"/>
          <w:lang w:val="es-ES_tradnl"/>
        </w:rPr>
        <w:t>m</w:t>
      </w:r>
      <w:r w:rsidRPr="00343386">
        <w:rPr>
          <w:rFonts w:ascii="Times New Roman" w:hAnsi="Times New Roman"/>
          <w:lang w:val="es-ES_tradnl"/>
        </w:rPr>
        <w:t>ediación, sucesión)</w:t>
      </w:r>
      <w:r>
        <w:rPr>
          <w:rFonts w:ascii="Times New Roman" w:hAnsi="Times New Roman"/>
          <w:lang w:val="es-ES_tradnl"/>
        </w:rPr>
        <w:t>;</w:t>
      </w:r>
      <w:r w:rsidRPr="00343386">
        <w:rPr>
          <w:rFonts w:ascii="Times New Roman" w:hAnsi="Times New Roman"/>
          <w:lang w:val="es-ES_tradnl"/>
        </w:rPr>
        <w:t xml:space="preserve"> 86 títulos mediante </w:t>
      </w:r>
      <w:r>
        <w:rPr>
          <w:rFonts w:ascii="Times New Roman" w:hAnsi="Times New Roman"/>
          <w:lang w:val="es-ES_tradnl"/>
        </w:rPr>
        <w:t>s</w:t>
      </w:r>
      <w:r w:rsidRPr="00343386">
        <w:rPr>
          <w:rFonts w:ascii="Times New Roman" w:hAnsi="Times New Roman"/>
          <w:lang w:val="es-ES_tradnl"/>
        </w:rPr>
        <w:t xml:space="preserve">aneamiento </w:t>
      </w:r>
      <w:r>
        <w:rPr>
          <w:rFonts w:ascii="Times New Roman" w:hAnsi="Times New Roman"/>
          <w:lang w:val="es-ES_tradnl"/>
        </w:rPr>
        <w:t>j</w:t>
      </w:r>
      <w:r w:rsidRPr="00343386">
        <w:rPr>
          <w:rFonts w:ascii="Times New Roman" w:hAnsi="Times New Roman"/>
          <w:lang w:val="es-ES_tradnl"/>
        </w:rPr>
        <w:t>urídico</w:t>
      </w:r>
      <w:r>
        <w:rPr>
          <w:rFonts w:ascii="Times New Roman" w:hAnsi="Times New Roman"/>
          <w:lang w:val="es-ES_tradnl"/>
        </w:rPr>
        <w:t>;</w:t>
      </w:r>
      <w:r w:rsidRPr="00343386">
        <w:rPr>
          <w:rFonts w:ascii="Times New Roman" w:hAnsi="Times New Roman"/>
          <w:lang w:val="es-ES_tradnl"/>
        </w:rPr>
        <w:t xml:space="preserve"> y 821 títulos a través de </w:t>
      </w:r>
      <w:r>
        <w:rPr>
          <w:rFonts w:ascii="Times New Roman" w:hAnsi="Times New Roman"/>
          <w:lang w:val="es-ES_tradnl"/>
        </w:rPr>
        <w:t>b</w:t>
      </w:r>
      <w:r w:rsidRPr="00343386">
        <w:rPr>
          <w:rFonts w:ascii="Times New Roman" w:hAnsi="Times New Roman"/>
          <w:lang w:val="es-ES_tradnl"/>
        </w:rPr>
        <w:t xml:space="preserve">ienes </w:t>
      </w:r>
      <w:r>
        <w:rPr>
          <w:rFonts w:ascii="Times New Roman" w:hAnsi="Times New Roman"/>
          <w:lang w:val="es-ES_tradnl"/>
        </w:rPr>
        <w:t>f</w:t>
      </w:r>
      <w:r w:rsidRPr="00343386">
        <w:rPr>
          <w:rFonts w:ascii="Times New Roman" w:hAnsi="Times New Roman"/>
          <w:lang w:val="es-ES_tradnl"/>
        </w:rPr>
        <w:t>iscales (</w:t>
      </w:r>
      <w:r>
        <w:rPr>
          <w:rFonts w:ascii="Times New Roman" w:hAnsi="Times New Roman"/>
          <w:lang w:val="es-ES_tradnl"/>
        </w:rPr>
        <w:t>c</w:t>
      </w:r>
      <w:r w:rsidRPr="00343386">
        <w:rPr>
          <w:rFonts w:ascii="Times New Roman" w:hAnsi="Times New Roman"/>
          <w:lang w:val="es-ES_tradnl"/>
        </w:rPr>
        <w:t xml:space="preserve">esión a </w:t>
      </w:r>
      <w:r>
        <w:rPr>
          <w:rFonts w:ascii="Times New Roman" w:hAnsi="Times New Roman"/>
          <w:lang w:val="es-ES_tradnl"/>
        </w:rPr>
        <w:t>t</w:t>
      </w:r>
      <w:r w:rsidRPr="00343386">
        <w:rPr>
          <w:rFonts w:ascii="Times New Roman" w:hAnsi="Times New Roman"/>
          <w:lang w:val="es-ES_tradnl"/>
        </w:rPr>
        <w:t xml:space="preserve">ítulo </w:t>
      </w:r>
      <w:r>
        <w:rPr>
          <w:rFonts w:ascii="Times New Roman" w:hAnsi="Times New Roman"/>
          <w:lang w:val="es-ES_tradnl"/>
        </w:rPr>
        <w:t>g</w:t>
      </w:r>
      <w:r w:rsidRPr="00343386">
        <w:rPr>
          <w:rFonts w:ascii="Times New Roman" w:hAnsi="Times New Roman"/>
          <w:lang w:val="es-ES_tradnl"/>
        </w:rPr>
        <w:t>ratuito)</w:t>
      </w:r>
      <w:r>
        <w:rPr>
          <w:rFonts w:ascii="Times New Roman" w:hAnsi="Times New Roman"/>
          <w:lang w:val="es-ES_tradnl"/>
        </w:rPr>
        <w:t xml:space="preserve"> </w:t>
      </w:r>
    </w:p>
    <w:p w14:paraId="1943A8EE" w14:textId="77777777" w:rsidR="004D3D5E" w:rsidRDefault="004D3D5E" w:rsidP="00F86C96">
      <w:pPr>
        <w:pStyle w:val="Textoindependiente"/>
        <w:ind w:left="426"/>
        <w:rPr>
          <w:rFonts w:ascii="Times New Roman" w:hAnsi="Times New Roman"/>
          <w:lang w:val="es-ES_tradnl"/>
        </w:rPr>
      </w:pPr>
    </w:p>
    <w:p w14:paraId="53B46855" w14:textId="77777777" w:rsidR="004D3D5E" w:rsidRPr="00DF083C" w:rsidRDefault="004D3D5E" w:rsidP="00F86C96">
      <w:pPr>
        <w:pStyle w:val="Textoindependiente"/>
        <w:ind w:left="426"/>
        <w:rPr>
          <w:rFonts w:ascii="Times New Roman" w:hAnsi="Times New Roman"/>
          <w:lang w:val="es-ES_tradnl"/>
        </w:rPr>
      </w:pPr>
      <w:r>
        <w:rPr>
          <w:rFonts w:ascii="Times New Roman" w:hAnsi="Times New Roman"/>
          <w:lang w:val="es-ES_tradnl"/>
        </w:rPr>
        <w:t xml:space="preserve">Este procedimiento </w:t>
      </w:r>
      <w:r w:rsidRPr="00DF083C">
        <w:rPr>
          <w:rFonts w:ascii="Times New Roman" w:hAnsi="Times New Roman"/>
          <w:lang w:val="es-ES_tradnl"/>
        </w:rPr>
        <w:t>facilitó el acceso de 1001 familias (3.403 personas aproximadamente) a los beneficios de una ciudad legal, reconociendo la propiedad del predio, las inversiones realizadas y la seguridad de la permanencia, mediante acompañamiento técnico, jurídico y social a través de estrategias y mecanismos de cooperación, con el fin de lograr la  obtención del título de propiedad.</w:t>
      </w:r>
    </w:p>
    <w:p w14:paraId="4B1375B8" w14:textId="77777777" w:rsidR="004D3D5E" w:rsidRDefault="004D3D5E" w:rsidP="00F86C96">
      <w:pPr>
        <w:pStyle w:val="Textoindependiente"/>
        <w:ind w:left="426"/>
        <w:rPr>
          <w:rFonts w:ascii="Times New Roman" w:hAnsi="Times New Roman"/>
          <w:lang w:val="es-ES_tradnl"/>
        </w:rPr>
      </w:pPr>
    </w:p>
    <w:p w14:paraId="449802D0" w14:textId="77777777" w:rsidR="004D3D5E" w:rsidRDefault="004D3D5E" w:rsidP="00F86C96">
      <w:pPr>
        <w:pStyle w:val="Textoindependiente"/>
        <w:ind w:left="426"/>
        <w:rPr>
          <w:rFonts w:ascii="Times New Roman" w:hAnsi="Times New Roman"/>
          <w:lang w:val="es-ES_tradnl"/>
        </w:rPr>
      </w:pPr>
      <w:r w:rsidRPr="00343386">
        <w:rPr>
          <w:rFonts w:ascii="Times New Roman" w:hAnsi="Times New Roman"/>
          <w:lang w:val="es-ES_tradnl"/>
        </w:rPr>
        <w:t xml:space="preserve">Adicionalmente se registró la entrega de la zona de cesión Bonanza y se logró el cierre de </w:t>
      </w:r>
      <w:r>
        <w:rPr>
          <w:rFonts w:ascii="Times New Roman" w:hAnsi="Times New Roman"/>
          <w:lang w:val="es-ES_tradnl"/>
        </w:rPr>
        <w:t xml:space="preserve">tres </w:t>
      </w:r>
      <w:r w:rsidRPr="00343386">
        <w:rPr>
          <w:rFonts w:ascii="Times New Roman" w:hAnsi="Times New Roman"/>
          <w:lang w:val="es-ES_tradnl"/>
        </w:rPr>
        <w:t>urbanizaciones</w:t>
      </w:r>
      <w:r>
        <w:rPr>
          <w:rFonts w:ascii="Times New Roman" w:hAnsi="Times New Roman"/>
          <w:lang w:val="es-ES_tradnl"/>
        </w:rPr>
        <w:t>, que beneficiaron</w:t>
      </w:r>
      <w:r w:rsidRPr="00DF083C">
        <w:rPr>
          <w:rFonts w:ascii="Times New Roman" w:hAnsi="Times New Roman"/>
          <w:lang w:val="es-ES_tradnl"/>
        </w:rPr>
        <w:t xml:space="preserve"> </w:t>
      </w:r>
      <w:r>
        <w:rPr>
          <w:rFonts w:ascii="Times New Roman" w:hAnsi="Times New Roman"/>
          <w:lang w:val="es-ES_tradnl"/>
        </w:rPr>
        <w:t xml:space="preserve">a </w:t>
      </w:r>
      <w:r w:rsidRPr="00DF083C">
        <w:rPr>
          <w:rFonts w:ascii="Times New Roman" w:hAnsi="Times New Roman"/>
          <w:lang w:val="es-ES_tradnl"/>
        </w:rPr>
        <w:t xml:space="preserve">384 personas adicionales, </w:t>
      </w:r>
      <w:r>
        <w:rPr>
          <w:rFonts w:ascii="Times New Roman" w:hAnsi="Times New Roman"/>
          <w:lang w:val="es-ES_tradnl"/>
        </w:rPr>
        <w:t>las cuales son: (i)</w:t>
      </w:r>
      <w:r w:rsidRPr="00DF083C">
        <w:rPr>
          <w:rFonts w:ascii="Times New Roman" w:hAnsi="Times New Roman"/>
          <w:lang w:val="es-ES_tradnl"/>
        </w:rPr>
        <w:t xml:space="preserve"> Candelaria la Nueva Etapa II</w:t>
      </w:r>
      <w:r>
        <w:rPr>
          <w:rFonts w:ascii="Times New Roman" w:hAnsi="Times New Roman"/>
          <w:lang w:val="es-ES_tradnl"/>
        </w:rPr>
        <w:t xml:space="preserve">, con </w:t>
      </w:r>
      <w:r w:rsidRPr="00DF083C">
        <w:rPr>
          <w:rFonts w:ascii="Times New Roman" w:hAnsi="Times New Roman"/>
          <w:lang w:val="es-ES_tradnl"/>
        </w:rPr>
        <w:t>59 casas construidas</w:t>
      </w:r>
      <w:r>
        <w:rPr>
          <w:rFonts w:ascii="Times New Roman" w:hAnsi="Times New Roman"/>
          <w:lang w:val="es-ES_tradnl"/>
        </w:rPr>
        <w:t xml:space="preserve"> y</w:t>
      </w:r>
      <w:r w:rsidRPr="00DF083C">
        <w:rPr>
          <w:rFonts w:ascii="Times New Roman" w:hAnsi="Times New Roman"/>
          <w:lang w:val="es-ES_tradnl"/>
        </w:rPr>
        <w:t xml:space="preserve"> 37 entregadas</w:t>
      </w:r>
      <w:r>
        <w:rPr>
          <w:rFonts w:ascii="Times New Roman" w:hAnsi="Times New Roman"/>
          <w:lang w:val="es-ES_tradnl"/>
        </w:rPr>
        <w:t>; (ii)</w:t>
      </w:r>
      <w:r w:rsidRPr="00DF083C">
        <w:rPr>
          <w:rFonts w:ascii="Times New Roman" w:hAnsi="Times New Roman"/>
          <w:lang w:val="es-ES_tradnl"/>
        </w:rPr>
        <w:t xml:space="preserve"> </w:t>
      </w:r>
      <w:proofErr w:type="spellStart"/>
      <w:r w:rsidRPr="00DF083C">
        <w:rPr>
          <w:rFonts w:ascii="Times New Roman" w:hAnsi="Times New Roman"/>
          <w:lang w:val="es-ES_tradnl"/>
        </w:rPr>
        <w:t>Arborizadora</w:t>
      </w:r>
      <w:proofErr w:type="spellEnd"/>
      <w:r w:rsidRPr="00DF083C">
        <w:rPr>
          <w:rFonts w:ascii="Times New Roman" w:hAnsi="Times New Roman"/>
          <w:lang w:val="es-ES_tradnl"/>
        </w:rPr>
        <w:t xml:space="preserve"> Manzana 6</w:t>
      </w:r>
      <w:r>
        <w:rPr>
          <w:rFonts w:ascii="Times New Roman" w:hAnsi="Times New Roman"/>
          <w:lang w:val="es-ES_tradnl"/>
        </w:rPr>
        <w:t xml:space="preserve">5, con </w:t>
      </w:r>
      <w:r w:rsidRPr="00DF083C">
        <w:rPr>
          <w:rFonts w:ascii="Times New Roman" w:hAnsi="Times New Roman"/>
          <w:lang w:val="es-ES_tradnl"/>
        </w:rPr>
        <w:t>50 casas construidas</w:t>
      </w:r>
      <w:r>
        <w:rPr>
          <w:rFonts w:ascii="Times New Roman" w:hAnsi="Times New Roman"/>
          <w:lang w:val="es-ES_tradnl"/>
        </w:rPr>
        <w:t xml:space="preserve"> y</w:t>
      </w:r>
      <w:r w:rsidRPr="00DF083C">
        <w:rPr>
          <w:rFonts w:ascii="Times New Roman" w:hAnsi="Times New Roman"/>
          <w:lang w:val="es-ES_tradnl"/>
        </w:rPr>
        <w:t xml:space="preserve"> 39 entregadas</w:t>
      </w:r>
      <w:r>
        <w:rPr>
          <w:rFonts w:ascii="Times New Roman" w:hAnsi="Times New Roman"/>
          <w:lang w:val="es-ES_tradnl"/>
        </w:rPr>
        <w:t>; (iii)</w:t>
      </w:r>
      <w:r w:rsidRPr="00DF083C">
        <w:rPr>
          <w:rFonts w:ascii="Times New Roman" w:hAnsi="Times New Roman"/>
          <w:lang w:val="es-ES_tradnl"/>
        </w:rPr>
        <w:t xml:space="preserve"> y Porvenir</w:t>
      </w:r>
      <w:r>
        <w:rPr>
          <w:rFonts w:ascii="Times New Roman" w:hAnsi="Times New Roman"/>
          <w:lang w:val="es-ES_tradnl"/>
        </w:rPr>
        <w:t xml:space="preserve">, con </w:t>
      </w:r>
      <w:r w:rsidRPr="00DF083C">
        <w:rPr>
          <w:rFonts w:ascii="Times New Roman" w:hAnsi="Times New Roman"/>
          <w:lang w:val="es-ES_tradnl"/>
        </w:rPr>
        <w:t>120 casas construidas</w:t>
      </w:r>
      <w:r>
        <w:rPr>
          <w:rFonts w:ascii="Times New Roman" w:hAnsi="Times New Roman"/>
          <w:lang w:val="es-ES_tradnl"/>
        </w:rPr>
        <w:t xml:space="preserve"> y</w:t>
      </w:r>
      <w:r w:rsidRPr="00DF083C">
        <w:rPr>
          <w:rFonts w:ascii="Times New Roman" w:hAnsi="Times New Roman"/>
          <w:lang w:val="es-ES_tradnl"/>
        </w:rPr>
        <w:t xml:space="preserve"> 110 entregadas.</w:t>
      </w:r>
    </w:p>
    <w:p w14:paraId="16B0BFC7" w14:textId="77777777" w:rsidR="004D3D5E" w:rsidRDefault="004D3D5E" w:rsidP="004D3D5E">
      <w:pPr>
        <w:pStyle w:val="Textoindependiente"/>
        <w:rPr>
          <w:rFonts w:ascii="Times New Roman" w:hAnsi="Times New Roman"/>
          <w:lang w:val="es-ES_tradnl"/>
        </w:rPr>
      </w:pPr>
    </w:p>
    <w:p w14:paraId="15BA0372" w14:textId="77777777" w:rsidR="004D3D5E" w:rsidRPr="001C1B92" w:rsidRDefault="004D3D5E" w:rsidP="00F86C96">
      <w:pPr>
        <w:pStyle w:val="Textoindependiente"/>
        <w:numPr>
          <w:ilvl w:val="0"/>
          <w:numId w:val="11"/>
        </w:numPr>
        <w:rPr>
          <w:rFonts w:ascii="Times New Roman" w:hAnsi="Times New Roman"/>
          <w:b/>
          <w:lang w:val="es-ES_tradnl"/>
        </w:rPr>
      </w:pPr>
      <w:r w:rsidRPr="001C1B92">
        <w:rPr>
          <w:rFonts w:ascii="Times New Roman" w:hAnsi="Times New Roman"/>
          <w:b/>
          <w:lang w:val="es-ES_tradnl"/>
        </w:rPr>
        <w:t>Asistencia técnica a 81 prestadores de los servicios públicos de acueducto identificados</w:t>
      </w:r>
    </w:p>
    <w:p w14:paraId="1C22F133" w14:textId="77777777" w:rsidR="004D3D5E" w:rsidRDefault="004D3D5E" w:rsidP="004D3D5E">
      <w:pPr>
        <w:pStyle w:val="Textoindependiente"/>
        <w:rPr>
          <w:rFonts w:ascii="Times New Roman" w:hAnsi="Times New Roman"/>
          <w:lang w:val="es-ES_tradnl"/>
        </w:rPr>
      </w:pPr>
    </w:p>
    <w:p w14:paraId="038C01A1" w14:textId="26DC5DE2" w:rsidR="004D3D5E" w:rsidRPr="001C1B92" w:rsidRDefault="004D3D5E" w:rsidP="00F86C96">
      <w:pPr>
        <w:ind w:left="284"/>
        <w:rPr>
          <w:rFonts w:ascii="Times New Roman" w:hAnsi="Times New Roman"/>
          <w:sz w:val="24"/>
          <w:szCs w:val="24"/>
        </w:rPr>
      </w:pPr>
      <w:r w:rsidRPr="001C1B92">
        <w:rPr>
          <w:rFonts w:ascii="Times New Roman" w:hAnsi="Times New Roman"/>
          <w:sz w:val="24"/>
          <w:szCs w:val="24"/>
        </w:rPr>
        <w:t>Frente a la gestión para el suministro de agua potable en el D.C, se brindó asistencia técnica a 44 sistemas de prestación del servicio de acueducto, a los cuales se les elaboró un diagnóstico donde se identificaron las buenas prácticas y falencias de cada uno, para así realizar un plan de acción de mejora y se realizó fortalecimiento activo que consistió en la realización de visitas a los acueductos comunitarios, asistencia a reuniones entorno al Decreto 552 de 2011</w:t>
      </w:r>
      <w:r w:rsidR="008E5B73">
        <w:rPr>
          <w:rFonts w:ascii="Times New Roman" w:hAnsi="Times New Roman"/>
          <w:sz w:val="24"/>
          <w:szCs w:val="24"/>
        </w:rPr>
        <w:t>.</w:t>
      </w:r>
    </w:p>
    <w:p w14:paraId="1CA5BE45" w14:textId="77777777" w:rsidR="00C61D46" w:rsidRDefault="00C61D46" w:rsidP="0087668E">
      <w:pPr>
        <w:rPr>
          <w:rFonts w:ascii="Times New Roman" w:eastAsiaTheme="majorEastAsia" w:hAnsi="Times New Roman"/>
          <w:b/>
          <w:sz w:val="24"/>
          <w:szCs w:val="24"/>
          <w:u w:val="single"/>
        </w:rPr>
      </w:pPr>
    </w:p>
    <w:p w14:paraId="01DB7CBA" w14:textId="0CD41FD2" w:rsidR="0087668E" w:rsidRPr="0087668E" w:rsidRDefault="00E02F89" w:rsidP="0087668E">
      <w:pPr>
        <w:rPr>
          <w:rFonts w:ascii="Times New Roman" w:eastAsiaTheme="majorEastAsia" w:hAnsi="Times New Roman"/>
          <w:b/>
          <w:sz w:val="24"/>
          <w:szCs w:val="24"/>
          <w:u w:val="single"/>
        </w:rPr>
      </w:pPr>
      <w:r>
        <w:rPr>
          <w:rFonts w:ascii="Times New Roman" w:eastAsiaTheme="majorEastAsia" w:hAnsi="Times New Roman"/>
          <w:b/>
          <w:sz w:val="24"/>
          <w:szCs w:val="24"/>
          <w:u w:val="single"/>
        </w:rPr>
        <w:t xml:space="preserve">15 - </w:t>
      </w:r>
      <w:r w:rsidR="0087668E" w:rsidRPr="0087668E">
        <w:rPr>
          <w:rFonts w:ascii="Times New Roman" w:eastAsiaTheme="majorEastAsia" w:hAnsi="Times New Roman"/>
          <w:b/>
          <w:sz w:val="24"/>
          <w:szCs w:val="24"/>
          <w:u w:val="single"/>
        </w:rPr>
        <w:t>Recuperaci</w:t>
      </w:r>
      <w:r w:rsidR="0087668E">
        <w:rPr>
          <w:rFonts w:ascii="Times New Roman" w:eastAsiaTheme="majorEastAsia" w:hAnsi="Times New Roman"/>
          <w:b/>
          <w:sz w:val="24"/>
          <w:szCs w:val="24"/>
          <w:u w:val="single"/>
        </w:rPr>
        <w:t>ón, Incorporación, Vida Urbana y Control de l</w:t>
      </w:r>
      <w:r w:rsidR="0087668E" w:rsidRPr="0087668E">
        <w:rPr>
          <w:rFonts w:ascii="Times New Roman" w:eastAsiaTheme="majorEastAsia" w:hAnsi="Times New Roman"/>
          <w:b/>
          <w:sz w:val="24"/>
          <w:szCs w:val="24"/>
          <w:u w:val="single"/>
        </w:rPr>
        <w:t>a Ilegalidad</w:t>
      </w:r>
    </w:p>
    <w:p w14:paraId="5C4CA50A" w14:textId="77777777" w:rsidR="0087668E" w:rsidRDefault="0087668E" w:rsidP="0087668E">
      <w:pPr>
        <w:rPr>
          <w:rFonts w:ascii="Times New Roman" w:hAnsi="Times New Roman"/>
          <w:sz w:val="24"/>
          <w:szCs w:val="24"/>
        </w:rPr>
      </w:pPr>
    </w:p>
    <w:p w14:paraId="036456B1" w14:textId="687702CF" w:rsidR="0087668E" w:rsidRPr="00F0208F" w:rsidRDefault="0087668E" w:rsidP="0087668E">
      <w:pPr>
        <w:rPr>
          <w:rFonts w:ascii="Times New Roman" w:hAnsi="Times New Roman"/>
          <w:sz w:val="24"/>
          <w:szCs w:val="24"/>
        </w:rPr>
      </w:pPr>
      <w:r>
        <w:rPr>
          <w:rFonts w:ascii="Times New Roman" w:hAnsi="Times New Roman"/>
          <w:sz w:val="24"/>
          <w:szCs w:val="24"/>
        </w:rPr>
        <w:t xml:space="preserve">Este </w:t>
      </w:r>
      <w:r w:rsidRPr="00F0208F">
        <w:rPr>
          <w:rFonts w:ascii="Times New Roman" w:hAnsi="Times New Roman"/>
          <w:sz w:val="24"/>
          <w:szCs w:val="24"/>
        </w:rPr>
        <w:t>programa pretende monitorear la ocupación informal del suelo a través de las visitas periódicas de las áreas que se han identificado como susceptibles a desarrollarse u ocuparse informalmente en el Distrito Capital, ya sea por asentamiento o por enajenación informa</w:t>
      </w:r>
      <w:r>
        <w:rPr>
          <w:rFonts w:ascii="Times New Roman" w:hAnsi="Times New Roman"/>
          <w:sz w:val="24"/>
          <w:szCs w:val="24"/>
        </w:rPr>
        <w:t>l</w:t>
      </w:r>
      <w:r w:rsidRPr="00F0208F">
        <w:rPr>
          <w:rFonts w:ascii="Times New Roman" w:hAnsi="Times New Roman"/>
          <w:sz w:val="24"/>
          <w:szCs w:val="24"/>
        </w:rPr>
        <w:t>.</w:t>
      </w:r>
    </w:p>
    <w:p w14:paraId="3B5E778D" w14:textId="77777777" w:rsidR="0087668E" w:rsidRPr="001959FF" w:rsidRDefault="0087668E" w:rsidP="0087668E">
      <w:pPr>
        <w:rPr>
          <w:rFonts w:ascii="Times New Roman" w:hAnsi="Times New Roman"/>
          <w:sz w:val="24"/>
          <w:szCs w:val="24"/>
        </w:rPr>
      </w:pPr>
    </w:p>
    <w:p w14:paraId="321D3F5B" w14:textId="77777777" w:rsidR="0087668E" w:rsidRPr="001959FF" w:rsidRDefault="0087668E" w:rsidP="0087668E">
      <w:pPr>
        <w:rPr>
          <w:rFonts w:ascii="Times New Roman" w:hAnsi="Times New Roman"/>
          <w:i/>
          <w:sz w:val="24"/>
          <w:szCs w:val="24"/>
          <w:lang w:val="es-ES"/>
        </w:rPr>
      </w:pPr>
      <w:r w:rsidRPr="001959FF">
        <w:rPr>
          <w:rFonts w:ascii="Times New Roman" w:hAnsi="Times New Roman"/>
          <w:sz w:val="24"/>
          <w:szCs w:val="24"/>
          <w:lang w:val="es-ES"/>
        </w:rPr>
        <w:t xml:space="preserve">Para llevar a cabo este objetivo, </w:t>
      </w:r>
      <w:r>
        <w:rPr>
          <w:rFonts w:ascii="Times New Roman" w:hAnsi="Times New Roman"/>
          <w:sz w:val="24"/>
          <w:szCs w:val="24"/>
          <w:lang w:val="es-ES"/>
        </w:rPr>
        <w:t xml:space="preserve">se deben </w:t>
      </w:r>
      <w:r w:rsidRPr="00F0208F">
        <w:rPr>
          <w:rFonts w:ascii="Times New Roman" w:hAnsi="Times New Roman"/>
          <w:sz w:val="24"/>
          <w:szCs w:val="24"/>
          <w:lang w:val="es-ES"/>
        </w:rPr>
        <w:t xml:space="preserve">fortalecer los procesos de control urbano con las </w:t>
      </w:r>
      <w:r>
        <w:rPr>
          <w:rFonts w:ascii="Times New Roman" w:hAnsi="Times New Roman"/>
          <w:sz w:val="24"/>
          <w:szCs w:val="24"/>
          <w:lang w:val="es-ES"/>
        </w:rPr>
        <w:t>a</w:t>
      </w:r>
      <w:r w:rsidRPr="00F0208F">
        <w:rPr>
          <w:rFonts w:ascii="Times New Roman" w:hAnsi="Times New Roman"/>
          <w:sz w:val="24"/>
          <w:szCs w:val="24"/>
          <w:lang w:val="es-ES"/>
        </w:rPr>
        <w:t>lcaldía</w:t>
      </w:r>
      <w:r>
        <w:rPr>
          <w:rFonts w:ascii="Times New Roman" w:hAnsi="Times New Roman"/>
          <w:sz w:val="24"/>
          <w:szCs w:val="24"/>
          <w:lang w:val="es-ES"/>
        </w:rPr>
        <w:t xml:space="preserve">s locales, e </w:t>
      </w:r>
      <w:r w:rsidRPr="00F0208F">
        <w:rPr>
          <w:rFonts w:ascii="Times New Roman" w:hAnsi="Times New Roman"/>
          <w:sz w:val="24"/>
          <w:szCs w:val="24"/>
          <w:lang w:val="es-ES"/>
        </w:rPr>
        <w:t>iniciar un control urbanístico por cargas de Vivienda de Interés Social (VIS) y Vivienda de Interés Prioritario (VIP).</w:t>
      </w:r>
      <w:r w:rsidRPr="001959FF">
        <w:rPr>
          <w:rFonts w:ascii="Times New Roman" w:hAnsi="Times New Roman"/>
          <w:sz w:val="24"/>
          <w:szCs w:val="24"/>
          <w:lang w:val="es-ES"/>
        </w:rPr>
        <w:t xml:space="preserve"> En este marco,</w:t>
      </w:r>
      <w:r>
        <w:rPr>
          <w:rFonts w:ascii="Times New Roman" w:hAnsi="Times New Roman"/>
          <w:sz w:val="24"/>
          <w:szCs w:val="24"/>
          <w:lang w:val="es-ES"/>
        </w:rPr>
        <w:t xml:space="preserve"> el</w:t>
      </w:r>
      <w:r w:rsidRPr="001959FF">
        <w:rPr>
          <w:rFonts w:ascii="Times New Roman" w:hAnsi="Times New Roman"/>
          <w:sz w:val="24"/>
          <w:szCs w:val="24"/>
          <w:lang w:val="es-ES"/>
        </w:rPr>
        <w:t xml:space="preserve"> </w:t>
      </w:r>
      <w:r w:rsidRPr="001959FF">
        <w:rPr>
          <w:rFonts w:ascii="Times New Roman" w:hAnsi="Times New Roman"/>
          <w:sz w:val="24"/>
          <w:szCs w:val="24"/>
        </w:rPr>
        <w:t xml:space="preserve">Plan de Desarrollo Bogotá Mejor Para Todos </w:t>
      </w:r>
      <w:r w:rsidRPr="001959FF">
        <w:rPr>
          <w:rFonts w:ascii="Times New Roman" w:hAnsi="Times New Roman"/>
          <w:sz w:val="24"/>
          <w:szCs w:val="24"/>
          <w:lang w:val="es-ES"/>
        </w:rPr>
        <w:t>planteó la meta</w:t>
      </w:r>
      <w:r>
        <w:rPr>
          <w:rFonts w:ascii="Times New Roman" w:hAnsi="Times New Roman"/>
          <w:sz w:val="24"/>
          <w:szCs w:val="24"/>
          <w:lang w:val="es-ES"/>
        </w:rPr>
        <w:t xml:space="preserve"> de</w:t>
      </w:r>
      <w:r w:rsidRPr="001959FF">
        <w:rPr>
          <w:rFonts w:ascii="Times New Roman" w:hAnsi="Times New Roman"/>
          <w:sz w:val="24"/>
          <w:szCs w:val="24"/>
          <w:lang w:val="es-ES"/>
        </w:rPr>
        <w:t xml:space="preserve"> producto</w:t>
      </w:r>
      <w:r>
        <w:rPr>
          <w:rFonts w:ascii="Times New Roman" w:hAnsi="Times New Roman"/>
          <w:sz w:val="24"/>
          <w:szCs w:val="24"/>
          <w:lang w:val="es-ES"/>
        </w:rPr>
        <w:t>:</w:t>
      </w:r>
      <w:r w:rsidRPr="001959FF">
        <w:rPr>
          <w:rFonts w:ascii="Times New Roman" w:hAnsi="Times New Roman"/>
          <w:sz w:val="24"/>
          <w:szCs w:val="24"/>
          <w:lang w:val="es-ES"/>
        </w:rPr>
        <w:t xml:space="preserve"> </w:t>
      </w:r>
      <w:r w:rsidRPr="00FC7F18">
        <w:rPr>
          <w:rFonts w:ascii="Times New Roman" w:hAnsi="Times New Roman"/>
          <w:i/>
          <w:sz w:val="24"/>
          <w:szCs w:val="24"/>
          <w:lang w:val="es-ES"/>
        </w:rPr>
        <w:t>Monitorear 100 % polígonos identificados de control y prevención en áreas susceptibles de ocupación</w:t>
      </w:r>
      <w:r>
        <w:rPr>
          <w:rFonts w:ascii="Times New Roman" w:hAnsi="Times New Roman"/>
          <w:i/>
          <w:sz w:val="24"/>
          <w:szCs w:val="24"/>
          <w:lang w:val="es-ES"/>
        </w:rPr>
        <w:t>.</w:t>
      </w:r>
    </w:p>
    <w:p w14:paraId="27144573" w14:textId="77777777" w:rsidR="0087668E" w:rsidRPr="001F76D4" w:rsidRDefault="0087668E" w:rsidP="0087668E">
      <w:pPr>
        <w:rPr>
          <w:rFonts w:ascii="Times New Roman" w:hAnsi="Times New Roman"/>
          <w:sz w:val="24"/>
          <w:szCs w:val="24"/>
          <w:lang w:val="es-ES"/>
        </w:rPr>
      </w:pPr>
    </w:p>
    <w:p w14:paraId="4FB919E1" w14:textId="77777777" w:rsidR="0087668E" w:rsidRDefault="0087668E" w:rsidP="0087668E">
      <w:pPr>
        <w:rPr>
          <w:rFonts w:ascii="Times New Roman" w:hAnsi="Times New Roman"/>
          <w:bCs/>
          <w:color w:val="000000"/>
          <w:sz w:val="24"/>
          <w:szCs w:val="24"/>
        </w:rPr>
      </w:pPr>
      <w:r w:rsidRPr="001959FF">
        <w:rPr>
          <w:rFonts w:ascii="Times New Roman" w:hAnsi="Times New Roman"/>
          <w:sz w:val="24"/>
          <w:szCs w:val="24"/>
        </w:rPr>
        <w:t>Bajo el lineamiento de este programa</w:t>
      </w:r>
      <w:r>
        <w:rPr>
          <w:rFonts w:ascii="Times New Roman" w:hAnsi="Times New Roman"/>
          <w:sz w:val="24"/>
          <w:szCs w:val="24"/>
        </w:rPr>
        <w:t>,</w:t>
      </w:r>
      <w:r w:rsidRPr="001959FF">
        <w:rPr>
          <w:rFonts w:ascii="Times New Roman" w:hAnsi="Times New Roman"/>
          <w:sz w:val="24"/>
          <w:szCs w:val="24"/>
        </w:rPr>
        <w:t xml:space="preserve"> la Secretaría Distrital del hábitat, formuló el proyecto de inversión </w:t>
      </w:r>
      <w:r>
        <w:rPr>
          <w:rFonts w:ascii="Times New Roman" w:hAnsi="Times New Roman"/>
          <w:sz w:val="24"/>
          <w:szCs w:val="24"/>
        </w:rPr>
        <w:t>417</w:t>
      </w:r>
      <w:r w:rsidRPr="001959FF">
        <w:rPr>
          <w:rFonts w:ascii="Times New Roman" w:hAnsi="Times New Roman"/>
          <w:sz w:val="24"/>
          <w:szCs w:val="24"/>
        </w:rPr>
        <w:t xml:space="preserve"> - </w:t>
      </w:r>
      <w:r w:rsidRPr="00635A03">
        <w:rPr>
          <w:rFonts w:ascii="Times New Roman" w:hAnsi="Times New Roman"/>
          <w:bCs/>
          <w:color w:val="000000"/>
          <w:sz w:val="24"/>
          <w:szCs w:val="24"/>
        </w:rPr>
        <w:t>Control a los procesos de enajenación y arriendo de vivienda</w:t>
      </w:r>
      <w:r w:rsidRPr="001959FF">
        <w:rPr>
          <w:rFonts w:ascii="Times New Roman" w:hAnsi="Times New Roman"/>
          <w:bCs/>
          <w:color w:val="000000"/>
          <w:sz w:val="24"/>
          <w:szCs w:val="24"/>
        </w:rPr>
        <w:t xml:space="preserve">, el cual pretende </w:t>
      </w:r>
      <w:r>
        <w:rPr>
          <w:rFonts w:ascii="Times New Roman" w:hAnsi="Times New Roman"/>
          <w:bCs/>
          <w:color w:val="000000"/>
          <w:sz w:val="24"/>
          <w:szCs w:val="24"/>
        </w:rPr>
        <w:t>r</w:t>
      </w:r>
      <w:r w:rsidRPr="00960BCA">
        <w:rPr>
          <w:rFonts w:ascii="Times New Roman" w:hAnsi="Times New Roman"/>
          <w:bCs/>
          <w:color w:val="000000"/>
          <w:sz w:val="24"/>
          <w:szCs w:val="24"/>
        </w:rPr>
        <w:t>ealizar el monitoreo de áreas susceptibles de ocupación informal del suelo, para informar oportunamente a las autoridades locales sobre las ocupaciones identificadas.</w:t>
      </w:r>
    </w:p>
    <w:p w14:paraId="0B22A30F" w14:textId="77777777" w:rsidR="0087668E" w:rsidRPr="001959FF" w:rsidRDefault="0087668E" w:rsidP="0087668E">
      <w:pPr>
        <w:rPr>
          <w:rFonts w:ascii="Times New Roman" w:hAnsi="Times New Roman"/>
          <w:sz w:val="24"/>
          <w:szCs w:val="24"/>
          <w:lang w:val="es-ES"/>
        </w:rPr>
      </w:pPr>
    </w:p>
    <w:p w14:paraId="38DC7E4D" w14:textId="77777777" w:rsidR="0087668E" w:rsidRDefault="0087668E" w:rsidP="0087668E">
      <w:pPr>
        <w:rPr>
          <w:rFonts w:ascii="Times New Roman" w:hAnsi="Times New Roman"/>
          <w:sz w:val="24"/>
          <w:szCs w:val="24"/>
          <w:lang w:val="es-ES"/>
        </w:rPr>
      </w:pPr>
      <w:r>
        <w:rPr>
          <w:rFonts w:ascii="Times New Roman" w:hAnsi="Times New Roman"/>
          <w:sz w:val="24"/>
          <w:szCs w:val="24"/>
          <w:lang w:val="es-ES"/>
        </w:rPr>
        <w:t>Durante la vigencia 2016 la SDHT adelantó l</w:t>
      </w:r>
      <w:r w:rsidRPr="0085468F">
        <w:rPr>
          <w:rFonts w:ascii="Times New Roman" w:hAnsi="Times New Roman"/>
          <w:sz w:val="24"/>
          <w:szCs w:val="24"/>
          <w:lang w:val="es-ES"/>
        </w:rPr>
        <w:t xml:space="preserve">a labor de monitoreo a las ocupaciones informales que se </w:t>
      </w:r>
      <w:r>
        <w:rPr>
          <w:rFonts w:ascii="Times New Roman" w:hAnsi="Times New Roman"/>
          <w:sz w:val="24"/>
          <w:szCs w:val="24"/>
          <w:lang w:val="es-ES"/>
        </w:rPr>
        <w:t>llevan a cabo</w:t>
      </w:r>
      <w:r w:rsidRPr="0085468F">
        <w:rPr>
          <w:rFonts w:ascii="Times New Roman" w:hAnsi="Times New Roman"/>
          <w:sz w:val="24"/>
          <w:szCs w:val="24"/>
          <w:lang w:val="es-ES"/>
        </w:rPr>
        <w:t xml:space="preserve"> al interior de los polígonos de monitoreo, los cuales se establecen como un área, en hectáreas, identificada como susceptible o en proceso de desarrollo ilegal, ya sea por asentamiento o enajenación. Partiendo de la identificación de las actividades de construcción y de enajenación ilegal, </w:t>
      </w:r>
      <w:r>
        <w:rPr>
          <w:rFonts w:ascii="Times New Roman" w:hAnsi="Times New Roman"/>
          <w:sz w:val="24"/>
          <w:szCs w:val="24"/>
          <w:lang w:val="es-ES"/>
        </w:rPr>
        <w:t xml:space="preserve">para lo cual </w:t>
      </w:r>
      <w:r w:rsidRPr="0085468F">
        <w:rPr>
          <w:rFonts w:ascii="Times New Roman" w:hAnsi="Times New Roman"/>
          <w:sz w:val="24"/>
          <w:szCs w:val="24"/>
          <w:lang w:val="es-ES"/>
        </w:rPr>
        <w:t>se adelanta las notificaciones a las alcaldías locales sobre las infracciones urbanísticas identificadas en cada uno de sus territorios.</w:t>
      </w:r>
    </w:p>
    <w:p w14:paraId="7DE61AD3" w14:textId="77777777" w:rsidR="0087668E" w:rsidRDefault="0087668E" w:rsidP="0087668E">
      <w:pPr>
        <w:rPr>
          <w:rFonts w:ascii="Times New Roman" w:hAnsi="Times New Roman"/>
          <w:sz w:val="24"/>
          <w:szCs w:val="24"/>
          <w:lang w:val="es-ES"/>
        </w:rPr>
      </w:pPr>
    </w:p>
    <w:p w14:paraId="7F9FFC19" w14:textId="77777777" w:rsidR="0087668E" w:rsidRPr="00996691" w:rsidRDefault="0087668E" w:rsidP="0087668E">
      <w:pPr>
        <w:rPr>
          <w:rFonts w:ascii="Times New Roman" w:hAnsi="Times New Roman"/>
          <w:sz w:val="24"/>
          <w:szCs w:val="24"/>
          <w:lang w:val="es-ES"/>
        </w:rPr>
      </w:pPr>
      <w:r w:rsidRPr="00996691">
        <w:rPr>
          <w:rFonts w:ascii="Times New Roman" w:hAnsi="Times New Roman"/>
          <w:sz w:val="24"/>
          <w:szCs w:val="24"/>
          <w:lang w:val="es-CO"/>
        </w:rPr>
        <w:t>Al año 2012 se tenían establecidas 240 zonas identificadas como susceptibles de desarrollarse informalmente, a las cuales se les adelantaba de forma permanente su monitoreo. Para inicios del año 2015, luego de una revisión y análisis, se aumentó el número de polígonos a  253,  incorporando a lo largo del año trece (13) nuevos polígonos producto de la labor realizada. Duran</w:t>
      </w:r>
      <w:r>
        <w:rPr>
          <w:rFonts w:ascii="Times New Roman" w:hAnsi="Times New Roman"/>
          <w:sz w:val="24"/>
          <w:szCs w:val="24"/>
          <w:lang w:val="es-CO"/>
        </w:rPr>
        <w:t xml:space="preserve">te el mes de julio del 2016 </w:t>
      </w:r>
      <w:r w:rsidRPr="00996691">
        <w:rPr>
          <w:rFonts w:ascii="Times New Roman" w:hAnsi="Times New Roman"/>
          <w:sz w:val="24"/>
          <w:szCs w:val="24"/>
          <w:lang w:val="es-CO"/>
        </w:rPr>
        <w:t xml:space="preserve">se eliminaron siete polígonos, dado que se cumplían las condiciones para ello, contando a </w:t>
      </w:r>
      <w:r>
        <w:rPr>
          <w:rFonts w:ascii="Times New Roman" w:hAnsi="Times New Roman"/>
          <w:sz w:val="24"/>
          <w:szCs w:val="24"/>
          <w:lang w:val="es-CO"/>
        </w:rPr>
        <w:t>s</w:t>
      </w:r>
      <w:r w:rsidRPr="00996691">
        <w:rPr>
          <w:rFonts w:ascii="Times New Roman" w:hAnsi="Times New Roman"/>
          <w:sz w:val="24"/>
          <w:szCs w:val="24"/>
          <w:lang w:val="es-CO"/>
        </w:rPr>
        <w:t>eptiembre de 2016 con un total de 245 polígonos.</w:t>
      </w:r>
    </w:p>
    <w:p w14:paraId="37973734" w14:textId="77777777" w:rsidR="0087668E" w:rsidRDefault="0087668E" w:rsidP="0087668E">
      <w:pPr>
        <w:rPr>
          <w:rFonts w:ascii="Times New Roman" w:hAnsi="Times New Roman"/>
          <w:sz w:val="24"/>
          <w:szCs w:val="24"/>
          <w:lang w:val="es-ES"/>
        </w:rPr>
      </w:pPr>
    </w:p>
    <w:p w14:paraId="3F2DA3ED" w14:textId="77777777" w:rsidR="0087668E" w:rsidRDefault="0087668E" w:rsidP="0087668E">
      <w:pPr>
        <w:rPr>
          <w:rFonts w:ascii="Times New Roman" w:hAnsi="Times New Roman"/>
          <w:sz w:val="24"/>
          <w:szCs w:val="24"/>
          <w:lang w:val="es-ES"/>
        </w:rPr>
      </w:pPr>
      <w:r w:rsidRPr="0085468F">
        <w:rPr>
          <w:rFonts w:ascii="Times New Roman" w:hAnsi="Times New Roman"/>
          <w:sz w:val="24"/>
          <w:szCs w:val="24"/>
          <w:lang w:val="es-ES"/>
        </w:rPr>
        <w:t>En la vigencia 2016 se realizó el monitoreo a los polígonos de la siguiente forma.</w:t>
      </w:r>
    </w:p>
    <w:p w14:paraId="52B544E7" w14:textId="77777777" w:rsidR="0087668E" w:rsidRDefault="0087668E" w:rsidP="0087668E">
      <w:pPr>
        <w:rPr>
          <w:rFonts w:ascii="Times New Roman" w:hAnsi="Times New Roman"/>
          <w:sz w:val="24"/>
          <w:szCs w:val="24"/>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376"/>
        <w:gridCol w:w="1742"/>
        <w:gridCol w:w="1843"/>
      </w:tblGrid>
      <w:tr w:rsidR="0087668E" w:rsidRPr="0087668E" w14:paraId="3E5ECBE3" w14:textId="77777777" w:rsidTr="0087668E">
        <w:trPr>
          <w:jc w:val="center"/>
        </w:trPr>
        <w:tc>
          <w:tcPr>
            <w:tcW w:w="1418" w:type="dxa"/>
            <w:shd w:val="clear" w:color="auto" w:fill="9CC2E5"/>
          </w:tcPr>
          <w:p w14:paraId="54F6935D" w14:textId="77777777" w:rsidR="0087668E" w:rsidRPr="0087668E" w:rsidRDefault="0087668E" w:rsidP="00D07A01">
            <w:pPr>
              <w:jc w:val="center"/>
              <w:rPr>
                <w:rFonts w:ascii="Times New Roman" w:hAnsi="Times New Roman"/>
                <w:b/>
                <w:sz w:val="20"/>
              </w:rPr>
            </w:pPr>
            <w:r w:rsidRPr="0087668E">
              <w:rPr>
                <w:rFonts w:ascii="Times New Roman" w:hAnsi="Times New Roman"/>
                <w:b/>
                <w:sz w:val="20"/>
              </w:rPr>
              <w:t>Mes</w:t>
            </w:r>
          </w:p>
        </w:tc>
        <w:tc>
          <w:tcPr>
            <w:tcW w:w="1376" w:type="dxa"/>
            <w:shd w:val="clear" w:color="auto" w:fill="9CC2E5"/>
          </w:tcPr>
          <w:p w14:paraId="12802F94" w14:textId="77777777" w:rsidR="0087668E" w:rsidRPr="0087668E" w:rsidRDefault="0087668E" w:rsidP="00D07A01">
            <w:pPr>
              <w:jc w:val="center"/>
              <w:rPr>
                <w:rFonts w:ascii="Times New Roman" w:hAnsi="Times New Roman"/>
                <w:b/>
                <w:sz w:val="20"/>
              </w:rPr>
            </w:pPr>
            <w:r w:rsidRPr="0087668E">
              <w:rPr>
                <w:rFonts w:ascii="Times New Roman" w:hAnsi="Times New Roman"/>
                <w:b/>
                <w:sz w:val="20"/>
              </w:rPr>
              <w:t>No. de visitas</w:t>
            </w:r>
          </w:p>
        </w:tc>
        <w:tc>
          <w:tcPr>
            <w:tcW w:w="1742" w:type="dxa"/>
            <w:shd w:val="clear" w:color="auto" w:fill="9CC2E5"/>
          </w:tcPr>
          <w:p w14:paraId="5AADFD9B" w14:textId="77777777" w:rsidR="0087668E" w:rsidRPr="0087668E" w:rsidRDefault="0087668E" w:rsidP="00D07A01">
            <w:pPr>
              <w:jc w:val="center"/>
              <w:rPr>
                <w:rFonts w:ascii="Times New Roman" w:hAnsi="Times New Roman"/>
                <w:b/>
                <w:sz w:val="20"/>
              </w:rPr>
            </w:pPr>
            <w:r w:rsidRPr="0087668E">
              <w:rPr>
                <w:rFonts w:ascii="Times New Roman" w:hAnsi="Times New Roman"/>
                <w:b/>
                <w:sz w:val="20"/>
              </w:rPr>
              <w:t>No. de hectáreas</w:t>
            </w:r>
          </w:p>
        </w:tc>
        <w:tc>
          <w:tcPr>
            <w:tcW w:w="1843" w:type="dxa"/>
            <w:shd w:val="clear" w:color="auto" w:fill="9CC2E5"/>
          </w:tcPr>
          <w:p w14:paraId="5FE71007" w14:textId="77777777" w:rsidR="0087668E" w:rsidRPr="0087668E" w:rsidRDefault="0087668E" w:rsidP="00D07A01">
            <w:pPr>
              <w:jc w:val="center"/>
              <w:rPr>
                <w:rFonts w:ascii="Times New Roman" w:hAnsi="Times New Roman"/>
                <w:b/>
                <w:sz w:val="20"/>
              </w:rPr>
            </w:pPr>
            <w:r w:rsidRPr="0087668E">
              <w:rPr>
                <w:rFonts w:ascii="Times New Roman" w:hAnsi="Times New Roman"/>
                <w:b/>
                <w:sz w:val="20"/>
              </w:rPr>
              <w:t>No. de polígonos</w:t>
            </w:r>
          </w:p>
        </w:tc>
      </w:tr>
      <w:tr w:rsidR="0087668E" w:rsidRPr="0087668E" w14:paraId="2C3BC7E2" w14:textId="77777777" w:rsidTr="0087668E">
        <w:trPr>
          <w:jc w:val="center"/>
        </w:trPr>
        <w:tc>
          <w:tcPr>
            <w:tcW w:w="1418" w:type="dxa"/>
            <w:shd w:val="clear" w:color="auto" w:fill="auto"/>
          </w:tcPr>
          <w:p w14:paraId="55C09A28" w14:textId="77777777" w:rsidR="0087668E" w:rsidRPr="0087668E" w:rsidRDefault="0087668E" w:rsidP="00D07A01">
            <w:pPr>
              <w:rPr>
                <w:rFonts w:ascii="Times New Roman" w:hAnsi="Times New Roman"/>
                <w:sz w:val="20"/>
              </w:rPr>
            </w:pPr>
            <w:r w:rsidRPr="0087668E">
              <w:rPr>
                <w:rFonts w:ascii="Times New Roman" w:hAnsi="Times New Roman"/>
                <w:sz w:val="20"/>
              </w:rPr>
              <w:t>Julio</w:t>
            </w:r>
          </w:p>
        </w:tc>
        <w:tc>
          <w:tcPr>
            <w:tcW w:w="1376" w:type="dxa"/>
            <w:shd w:val="clear" w:color="auto" w:fill="auto"/>
          </w:tcPr>
          <w:p w14:paraId="58E6D070"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c>
          <w:tcPr>
            <w:tcW w:w="1742" w:type="dxa"/>
            <w:shd w:val="clear" w:color="auto" w:fill="auto"/>
          </w:tcPr>
          <w:p w14:paraId="29D745B6"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3663</w:t>
            </w:r>
          </w:p>
        </w:tc>
        <w:tc>
          <w:tcPr>
            <w:tcW w:w="1843" w:type="dxa"/>
            <w:shd w:val="clear" w:color="auto" w:fill="auto"/>
          </w:tcPr>
          <w:p w14:paraId="429A159C"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r>
      <w:tr w:rsidR="0087668E" w:rsidRPr="0087668E" w14:paraId="235BE7CC" w14:textId="77777777" w:rsidTr="0087668E">
        <w:trPr>
          <w:jc w:val="center"/>
        </w:trPr>
        <w:tc>
          <w:tcPr>
            <w:tcW w:w="1418" w:type="dxa"/>
            <w:shd w:val="clear" w:color="auto" w:fill="auto"/>
          </w:tcPr>
          <w:p w14:paraId="0C6FE426" w14:textId="77777777" w:rsidR="0087668E" w:rsidRPr="0087668E" w:rsidRDefault="0087668E" w:rsidP="00D07A01">
            <w:pPr>
              <w:rPr>
                <w:rFonts w:ascii="Times New Roman" w:hAnsi="Times New Roman"/>
                <w:sz w:val="20"/>
              </w:rPr>
            </w:pPr>
            <w:r w:rsidRPr="0087668E">
              <w:rPr>
                <w:rFonts w:ascii="Times New Roman" w:hAnsi="Times New Roman"/>
                <w:sz w:val="20"/>
              </w:rPr>
              <w:t>Agosto</w:t>
            </w:r>
          </w:p>
        </w:tc>
        <w:tc>
          <w:tcPr>
            <w:tcW w:w="1376" w:type="dxa"/>
            <w:shd w:val="clear" w:color="auto" w:fill="auto"/>
          </w:tcPr>
          <w:p w14:paraId="3B903E60"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c>
          <w:tcPr>
            <w:tcW w:w="1742" w:type="dxa"/>
            <w:shd w:val="clear" w:color="auto" w:fill="auto"/>
          </w:tcPr>
          <w:p w14:paraId="27B5C809"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3663</w:t>
            </w:r>
          </w:p>
        </w:tc>
        <w:tc>
          <w:tcPr>
            <w:tcW w:w="1843" w:type="dxa"/>
            <w:shd w:val="clear" w:color="auto" w:fill="auto"/>
          </w:tcPr>
          <w:p w14:paraId="03C7CEF9"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r>
      <w:tr w:rsidR="0087668E" w:rsidRPr="0087668E" w14:paraId="2EC894F6" w14:textId="77777777" w:rsidTr="0087668E">
        <w:trPr>
          <w:jc w:val="center"/>
        </w:trPr>
        <w:tc>
          <w:tcPr>
            <w:tcW w:w="1418" w:type="dxa"/>
            <w:shd w:val="clear" w:color="auto" w:fill="auto"/>
          </w:tcPr>
          <w:p w14:paraId="17D83F93" w14:textId="77777777" w:rsidR="0087668E" w:rsidRPr="0087668E" w:rsidRDefault="0087668E" w:rsidP="00D07A01">
            <w:pPr>
              <w:rPr>
                <w:rFonts w:ascii="Times New Roman" w:hAnsi="Times New Roman"/>
                <w:sz w:val="20"/>
              </w:rPr>
            </w:pPr>
            <w:r w:rsidRPr="0087668E">
              <w:rPr>
                <w:rFonts w:ascii="Times New Roman" w:hAnsi="Times New Roman"/>
                <w:sz w:val="20"/>
              </w:rPr>
              <w:t>Septiembre</w:t>
            </w:r>
          </w:p>
        </w:tc>
        <w:tc>
          <w:tcPr>
            <w:tcW w:w="1376" w:type="dxa"/>
            <w:shd w:val="clear" w:color="auto" w:fill="auto"/>
          </w:tcPr>
          <w:p w14:paraId="5E0BA24C"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c>
          <w:tcPr>
            <w:tcW w:w="1742" w:type="dxa"/>
            <w:shd w:val="clear" w:color="auto" w:fill="auto"/>
          </w:tcPr>
          <w:p w14:paraId="7F5E2AC7"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3663</w:t>
            </w:r>
          </w:p>
        </w:tc>
        <w:tc>
          <w:tcPr>
            <w:tcW w:w="1843" w:type="dxa"/>
            <w:shd w:val="clear" w:color="auto" w:fill="auto"/>
          </w:tcPr>
          <w:p w14:paraId="5A9C0715"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r>
      <w:tr w:rsidR="0087668E" w:rsidRPr="0087668E" w14:paraId="2030DD14" w14:textId="77777777" w:rsidTr="0087668E">
        <w:trPr>
          <w:jc w:val="center"/>
        </w:trPr>
        <w:tc>
          <w:tcPr>
            <w:tcW w:w="1418" w:type="dxa"/>
            <w:shd w:val="clear" w:color="auto" w:fill="auto"/>
          </w:tcPr>
          <w:p w14:paraId="60075D29" w14:textId="77777777" w:rsidR="0087668E" w:rsidRPr="0087668E" w:rsidRDefault="0087668E" w:rsidP="00D07A01">
            <w:pPr>
              <w:rPr>
                <w:rFonts w:ascii="Times New Roman" w:hAnsi="Times New Roman"/>
                <w:sz w:val="20"/>
              </w:rPr>
            </w:pPr>
            <w:r w:rsidRPr="0087668E">
              <w:rPr>
                <w:rFonts w:ascii="Times New Roman" w:hAnsi="Times New Roman"/>
                <w:sz w:val="20"/>
              </w:rPr>
              <w:t>Octubre</w:t>
            </w:r>
          </w:p>
        </w:tc>
        <w:tc>
          <w:tcPr>
            <w:tcW w:w="1376" w:type="dxa"/>
            <w:shd w:val="clear" w:color="auto" w:fill="auto"/>
          </w:tcPr>
          <w:p w14:paraId="158DC5CA"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c>
          <w:tcPr>
            <w:tcW w:w="1742" w:type="dxa"/>
            <w:shd w:val="clear" w:color="auto" w:fill="auto"/>
          </w:tcPr>
          <w:p w14:paraId="7AE98C54"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3663</w:t>
            </w:r>
          </w:p>
        </w:tc>
        <w:tc>
          <w:tcPr>
            <w:tcW w:w="1843" w:type="dxa"/>
            <w:shd w:val="clear" w:color="auto" w:fill="auto"/>
          </w:tcPr>
          <w:p w14:paraId="6CB96A53"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r>
      <w:tr w:rsidR="0087668E" w:rsidRPr="0087668E" w14:paraId="26AFDC45" w14:textId="77777777" w:rsidTr="0087668E">
        <w:trPr>
          <w:jc w:val="center"/>
        </w:trPr>
        <w:tc>
          <w:tcPr>
            <w:tcW w:w="1418" w:type="dxa"/>
            <w:shd w:val="clear" w:color="auto" w:fill="auto"/>
          </w:tcPr>
          <w:p w14:paraId="0D9E038A" w14:textId="77777777" w:rsidR="0087668E" w:rsidRPr="0087668E" w:rsidRDefault="0087668E" w:rsidP="00D07A01">
            <w:pPr>
              <w:rPr>
                <w:rFonts w:ascii="Times New Roman" w:hAnsi="Times New Roman"/>
                <w:sz w:val="20"/>
              </w:rPr>
            </w:pPr>
            <w:r w:rsidRPr="0087668E">
              <w:rPr>
                <w:rFonts w:ascii="Times New Roman" w:hAnsi="Times New Roman"/>
                <w:sz w:val="20"/>
              </w:rPr>
              <w:t>Noviembre</w:t>
            </w:r>
          </w:p>
        </w:tc>
        <w:tc>
          <w:tcPr>
            <w:tcW w:w="1376" w:type="dxa"/>
            <w:shd w:val="clear" w:color="auto" w:fill="auto"/>
          </w:tcPr>
          <w:p w14:paraId="01FA6C40"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c>
          <w:tcPr>
            <w:tcW w:w="1742" w:type="dxa"/>
            <w:shd w:val="clear" w:color="auto" w:fill="auto"/>
          </w:tcPr>
          <w:p w14:paraId="7F177FAE"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3667</w:t>
            </w:r>
          </w:p>
        </w:tc>
        <w:tc>
          <w:tcPr>
            <w:tcW w:w="1843" w:type="dxa"/>
            <w:shd w:val="clear" w:color="auto" w:fill="auto"/>
          </w:tcPr>
          <w:p w14:paraId="438A2B67"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r>
      <w:tr w:rsidR="0087668E" w:rsidRPr="0087668E" w14:paraId="3BB8A127" w14:textId="77777777" w:rsidTr="0087668E">
        <w:trPr>
          <w:jc w:val="center"/>
        </w:trPr>
        <w:tc>
          <w:tcPr>
            <w:tcW w:w="1418" w:type="dxa"/>
            <w:shd w:val="clear" w:color="auto" w:fill="auto"/>
          </w:tcPr>
          <w:p w14:paraId="43A21257" w14:textId="77777777" w:rsidR="0087668E" w:rsidRPr="0087668E" w:rsidRDefault="0087668E" w:rsidP="00D07A01">
            <w:pPr>
              <w:rPr>
                <w:rFonts w:ascii="Times New Roman" w:hAnsi="Times New Roman"/>
                <w:sz w:val="20"/>
              </w:rPr>
            </w:pPr>
            <w:r w:rsidRPr="0087668E">
              <w:rPr>
                <w:rFonts w:ascii="Times New Roman" w:hAnsi="Times New Roman"/>
                <w:sz w:val="20"/>
              </w:rPr>
              <w:t>Diciembre</w:t>
            </w:r>
          </w:p>
        </w:tc>
        <w:tc>
          <w:tcPr>
            <w:tcW w:w="1376" w:type="dxa"/>
            <w:shd w:val="clear" w:color="auto" w:fill="auto"/>
          </w:tcPr>
          <w:p w14:paraId="3BA67430"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247</w:t>
            </w:r>
          </w:p>
        </w:tc>
        <w:tc>
          <w:tcPr>
            <w:tcW w:w="1742" w:type="dxa"/>
            <w:shd w:val="clear" w:color="auto" w:fill="auto"/>
          </w:tcPr>
          <w:p w14:paraId="7BC43471"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3690</w:t>
            </w:r>
          </w:p>
        </w:tc>
        <w:tc>
          <w:tcPr>
            <w:tcW w:w="1843" w:type="dxa"/>
            <w:shd w:val="clear" w:color="auto" w:fill="auto"/>
          </w:tcPr>
          <w:p w14:paraId="311CDF8B" w14:textId="77777777" w:rsidR="0087668E" w:rsidRPr="0087668E" w:rsidRDefault="0087668E" w:rsidP="00D07A01">
            <w:pPr>
              <w:jc w:val="center"/>
              <w:rPr>
                <w:rFonts w:ascii="Times New Roman" w:hAnsi="Times New Roman"/>
                <w:sz w:val="20"/>
              </w:rPr>
            </w:pPr>
            <w:r w:rsidRPr="0087668E">
              <w:rPr>
                <w:rFonts w:ascii="Times New Roman" w:hAnsi="Times New Roman"/>
                <w:sz w:val="20"/>
              </w:rPr>
              <w:t>245</w:t>
            </w:r>
          </w:p>
        </w:tc>
      </w:tr>
    </w:tbl>
    <w:p w14:paraId="350B1DD9" w14:textId="77777777" w:rsidR="0087668E" w:rsidRPr="0085468F" w:rsidRDefault="0087668E" w:rsidP="0087668E">
      <w:pPr>
        <w:jc w:val="center"/>
        <w:rPr>
          <w:rFonts w:ascii="Times New Roman" w:hAnsi="Times New Roman"/>
          <w:sz w:val="20"/>
        </w:rPr>
      </w:pPr>
      <w:r w:rsidRPr="0085468F">
        <w:rPr>
          <w:rFonts w:ascii="Times New Roman" w:hAnsi="Times New Roman"/>
          <w:sz w:val="20"/>
        </w:rPr>
        <w:t>Fuente: Subdirección de prevención y seguimiento - SDHT</w:t>
      </w:r>
    </w:p>
    <w:p w14:paraId="0684EF05" w14:textId="77777777" w:rsidR="0087668E" w:rsidRDefault="0087668E" w:rsidP="0087668E"/>
    <w:p w14:paraId="34D2367C" w14:textId="77777777" w:rsidR="0087668E" w:rsidRDefault="0087668E" w:rsidP="0087668E">
      <w:pPr>
        <w:rPr>
          <w:rFonts w:ascii="Times New Roman" w:hAnsi="Times New Roman"/>
          <w:sz w:val="24"/>
          <w:szCs w:val="24"/>
          <w:lang w:val="es-MX"/>
        </w:rPr>
      </w:pPr>
      <w:r w:rsidRPr="006E4118">
        <w:rPr>
          <w:rFonts w:ascii="Times New Roman" w:hAnsi="Times New Roman"/>
          <w:sz w:val="24"/>
          <w:szCs w:val="24"/>
          <w:lang w:val="es-CO"/>
        </w:rPr>
        <w:t>Como</w:t>
      </w:r>
      <w:r w:rsidRPr="006E4118">
        <w:rPr>
          <w:rFonts w:ascii="Times New Roman" w:hAnsi="Times New Roman"/>
          <w:sz w:val="24"/>
          <w:szCs w:val="24"/>
          <w:lang w:val="es-MX"/>
        </w:rPr>
        <w:t xml:space="preserve"> resultado del trabajo articulado que desarrolló la Secretar</w:t>
      </w:r>
      <w:r>
        <w:rPr>
          <w:rFonts w:ascii="Times New Roman" w:hAnsi="Times New Roman"/>
          <w:sz w:val="24"/>
          <w:szCs w:val="24"/>
          <w:lang w:val="es-MX"/>
        </w:rPr>
        <w:t>ía</w:t>
      </w:r>
      <w:r w:rsidRPr="006E4118">
        <w:rPr>
          <w:rFonts w:ascii="Times New Roman" w:hAnsi="Times New Roman"/>
          <w:sz w:val="24"/>
          <w:szCs w:val="24"/>
          <w:lang w:val="es-MX"/>
        </w:rPr>
        <w:t xml:space="preserve"> de Seguridad, Convivencia y Acceso a la Justicia, Fiscalía General de la Nación – Sub unidad de Tierras y la Secretaría Distrital de Hábitat, se logró establecer que en </w:t>
      </w:r>
      <w:r>
        <w:rPr>
          <w:rFonts w:ascii="Times New Roman" w:hAnsi="Times New Roman"/>
          <w:sz w:val="24"/>
          <w:szCs w:val="24"/>
          <w:lang w:val="es-MX"/>
        </w:rPr>
        <w:t>10</w:t>
      </w:r>
      <w:r w:rsidRPr="006E4118">
        <w:rPr>
          <w:rFonts w:ascii="Times New Roman" w:hAnsi="Times New Roman"/>
          <w:sz w:val="24"/>
          <w:szCs w:val="24"/>
          <w:lang w:val="es-MX"/>
        </w:rPr>
        <w:t xml:space="preserve"> localidades: Bosa, Ciudad Bolívar, Kennedy, Suba, Usme, Usaquén, Rafael Uribe </w:t>
      </w:r>
      <w:proofErr w:type="spellStart"/>
      <w:r w:rsidRPr="006E4118">
        <w:rPr>
          <w:rFonts w:ascii="Times New Roman" w:hAnsi="Times New Roman"/>
          <w:sz w:val="24"/>
          <w:szCs w:val="24"/>
          <w:lang w:val="es-MX"/>
        </w:rPr>
        <w:t>Uribe</w:t>
      </w:r>
      <w:proofErr w:type="spellEnd"/>
      <w:r w:rsidRPr="006E4118">
        <w:rPr>
          <w:rFonts w:ascii="Times New Roman" w:hAnsi="Times New Roman"/>
          <w:sz w:val="24"/>
          <w:szCs w:val="24"/>
          <w:lang w:val="es-MX"/>
        </w:rPr>
        <w:t xml:space="preserve">, Engativá y Fontibón se presenta el mayor número de casos asociados al fenómeno de </w:t>
      </w:r>
      <w:r>
        <w:rPr>
          <w:rFonts w:ascii="Times New Roman" w:hAnsi="Times New Roman"/>
          <w:sz w:val="24"/>
          <w:szCs w:val="24"/>
          <w:lang w:val="es-MX"/>
        </w:rPr>
        <w:t>u</w:t>
      </w:r>
      <w:r w:rsidRPr="006E4118">
        <w:rPr>
          <w:rFonts w:ascii="Times New Roman" w:hAnsi="Times New Roman"/>
          <w:sz w:val="24"/>
          <w:szCs w:val="24"/>
          <w:lang w:val="es-MX"/>
        </w:rPr>
        <w:t xml:space="preserve">rbanizaciones </w:t>
      </w:r>
      <w:r>
        <w:rPr>
          <w:rFonts w:ascii="Times New Roman" w:hAnsi="Times New Roman"/>
          <w:sz w:val="24"/>
          <w:szCs w:val="24"/>
          <w:lang w:val="es-MX"/>
        </w:rPr>
        <w:t>i</w:t>
      </w:r>
      <w:r w:rsidRPr="006E4118">
        <w:rPr>
          <w:rFonts w:ascii="Times New Roman" w:hAnsi="Times New Roman"/>
          <w:sz w:val="24"/>
          <w:szCs w:val="24"/>
          <w:lang w:val="es-MX"/>
        </w:rPr>
        <w:t xml:space="preserve">legales o </w:t>
      </w:r>
      <w:r>
        <w:rPr>
          <w:rFonts w:ascii="Times New Roman" w:hAnsi="Times New Roman"/>
          <w:sz w:val="24"/>
          <w:szCs w:val="24"/>
          <w:lang w:val="es-MX"/>
        </w:rPr>
        <w:t>a</w:t>
      </w:r>
      <w:r w:rsidRPr="006E4118">
        <w:rPr>
          <w:rFonts w:ascii="Times New Roman" w:hAnsi="Times New Roman"/>
          <w:sz w:val="24"/>
          <w:szCs w:val="24"/>
          <w:lang w:val="es-MX"/>
        </w:rPr>
        <w:t xml:space="preserve">sentamientos </w:t>
      </w:r>
      <w:r>
        <w:rPr>
          <w:rFonts w:ascii="Times New Roman" w:hAnsi="Times New Roman"/>
          <w:sz w:val="24"/>
          <w:szCs w:val="24"/>
          <w:lang w:val="es-MX"/>
        </w:rPr>
        <w:t>i</w:t>
      </w:r>
      <w:r w:rsidRPr="006E4118">
        <w:rPr>
          <w:rFonts w:ascii="Times New Roman" w:hAnsi="Times New Roman"/>
          <w:sz w:val="24"/>
          <w:szCs w:val="24"/>
          <w:lang w:val="es-MX"/>
        </w:rPr>
        <w:t>legales y la identificación de las personas que presuntamente actuaban como promitentes vendedores – enajenadores ilegales en el Distrito Capital.</w:t>
      </w:r>
    </w:p>
    <w:p w14:paraId="7F80F834" w14:textId="77777777" w:rsidR="0087668E" w:rsidRDefault="0087668E" w:rsidP="0087668E">
      <w:pPr>
        <w:rPr>
          <w:rFonts w:ascii="Times New Roman" w:hAnsi="Times New Roman"/>
          <w:sz w:val="24"/>
          <w:szCs w:val="24"/>
          <w:lang w:val="es-ES"/>
        </w:rPr>
      </w:pPr>
    </w:p>
    <w:p w14:paraId="11BED5D5" w14:textId="77777777" w:rsidR="0087668E" w:rsidRPr="006D42DE" w:rsidRDefault="0087668E" w:rsidP="0087668E">
      <w:pPr>
        <w:rPr>
          <w:rFonts w:ascii="Times New Roman" w:hAnsi="Times New Roman"/>
          <w:sz w:val="24"/>
          <w:szCs w:val="24"/>
          <w:lang w:val="es-ES"/>
        </w:rPr>
      </w:pPr>
      <w:r w:rsidRPr="006D42DE">
        <w:rPr>
          <w:rFonts w:ascii="Times New Roman" w:hAnsi="Times New Roman"/>
          <w:sz w:val="24"/>
          <w:szCs w:val="24"/>
          <w:lang w:val="es-ES"/>
        </w:rPr>
        <w:t xml:space="preserve">Así mismo se logró la recuperación del polígono 218, el cual se encuentra ubicado en las inmediaciones de Monserrate (el cual presenta afectación por la resolución 463 de 2005 de la Franja de Cerros Orientales) para lo cual se puso en marcha una estrategia para mitigar los riesgos asociados a la vulnerabilidad de la población. Así mismo la SDHT, bajo la dirección de la Secretaría de Gobierno, trabajó en el desarrollo de una feria de servicios, con la oferta institucional para la obtención de subsidios y vivienda, además de proveer la información de cartografía y estado de las ocupaciones identificadas a la fecha. </w:t>
      </w:r>
    </w:p>
    <w:p w14:paraId="611E186E" w14:textId="77777777" w:rsidR="0087668E" w:rsidRDefault="0087668E" w:rsidP="0087668E">
      <w:pPr>
        <w:rPr>
          <w:rFonts w:ascii="Times New Roman" w:hAnsi="Times New Roman"/>
          <w:sz w:val="24"/>
          <w:szCs w:val="24"/>
          <w:lang w:val="es-ES"/>
        </w:rPr>
      </w:pPr>
    </w:p>
    <w:p w14:paraId="1835E125" w14:textId="77777777" w:rsidR="00A55F1A" w:rsidRDefault="00A55F1A" w:rsidP="0087668E">
      <w:pPr>
        <w:rPr>
          <w:rFonts w:ascii="Times New Roman" w:hAnsi="Times New Roman"/>
          <w:sz w:val="24"/>
          <w:szCs w:val="24"/>
          <w:lang w:val="es-ES"/>
        </w:rPr>
      </w:pPr>
    </w:p>
    <w:p w14:paraId="660B1265" w14:textId="77777777" w:rsidR="00A55F1A" w:rsidRDefault="00A55F1A" w:rsidP="0087668E">
      <w:pPr>
        <w:rPr>
          <w:rFonts w:ascii="Times New Roman" w:hAnsi="Times New Roman"/>
          <w:sz w:val="24"/>
          <w:szCs w:val="24"/>
          <w:lang w:val="es-ES"/>
        </w:rPr>
      </w:pPr>
    </w:p>
    <w:p w14:paraId="51CD913F" w14:textId="77777777" w:rsidR="00A55F1A" w:rsidRPr="006D42DE" w:rsidRDefault="00A55F1A" w:rsidP="0087668E">
      <w:pPr>
        <w:rPr>
          <w:rFonts w:ascii="Times New Roman" w:hAnsi="Times New Roman"/>
          <w:sz w:val="24"/>
          <w:szCs w:val="24"/>
          <w:lang w:val="es-ES"/>
        </w:rPr>
      </w:pPr>
    </w:p>
    <w:p w14:paraId="53B8C9F0" w14:textId="77777777" w:rsidR="001F520E" w:rsidRDefault="001F520E" w:rsidP="009E1F1E">
      <w:pPr>
        <w:rPr>
          <w:rFonts w:ascii="Times New Roman" w:hAnsi="Times New Roman"/>
          <w:sz w:val="24"/>
          <w:szCs w:val="24"/>
          <w:lang w:val="es-ES" w:eastAsia="x-none"/>
        </w:rPr>
      </w:pPr>
    </w:p>
    <w:p w14:paraId="2AF70CD3" w14:textId="6AC6A4A4" w:rsidR="001A20CA" w:rsidRPr="001A20CA" w:rsidRDefault="001A20CA" w:rsidP="009E1F1E">
      <w:pPr>
        <w:rPr>
          <w:rFonts w:ascii="Times New Roman" w:eastAsiaTheme="majorEastAsia" w:hAnsi="Times New Roman"/>
          <w:b/>
          <w:sz w:val="24"/>
          <w:szCs w:val="24"/>
          <w:u w:val="single"/>
        </w:rPr>
      </w:pPr>
      <w:r w:rsidRPr="001A20CA">
        <w:rPr>
          <w:rFonts w:ascii="Times New Roman" w:eastAsiaTheme="majorEastAsia" w:hAnsi="Times New Roman"/>
          <w:b/>
          <w:sz w:val="24"/>
          <w:szCs w:val="24"/>
          <w:u w:val="single"/>
        </w:rPr>
        <w:t>19 - Seguridad y convivencia para todos</w:t>
      </w:r>
    </w:p>
    <w:p w14:paraId="62B3C3B5" w14:textId="77777777" w:rsidR="001A20CA" w:rsidRDefault="001A20CA" w:rsidP="009E1F1E">
      <w:pPr>
        <w:rPr>
          <w:rFonts w:ascii="Times New Roman" w:hAnsi="Times New Roman"/>
          <w:sz w:val="24"/>
          <w:szCs w:val="24"/>
          <w:lang w:val="es-ES" w:eastAsia="x-none"/>
        </w:rPr>
      </w:pPr>
    </w:p>
    <w:p w14:paraId="2567D46B" w14:textId="61ED4F22" w:rsidR="001A20CA" w:rsidRDefault="001A20CA" w:rsidP="00E80690">
      <w:pPr>
        <w:rPr>
          <w:rFonts w:ascii="Times New Roman" w:hAnsi="Times New Roman"/>
          <w:sz w:val="24"/>
          <w:szCs w:val="24"/>
          <w:lang w:val="es-ES" w:eastAsia="x-none"/>
        </w:rPr>
      </w:pPr>
      <w:r>
        <w:rPr>
          <w:rFonts w:ascii="Times New Roman" w:hAnsi="Times New Roman"/>
          <w:sz w:val="24"/>
          <w:szCs w:val="24"/>
          <w:lang w:val="es-ES" w:eastAsia="x-none"/>
        </w:rPr>
        <w:t xml:space="preserve">Este programa es mejorar la seguridad y la convivencia en la ciudad a través de la prevención y el control del delito, y la convivencia en Bogotá, a fin de </w:t>
      </w:r>
      <w:r w:rsidRPr="001959FF">
        <w:rPr>
          <w:rFonts w:ascii="Times New Roman" w:hAnsi="Times New Roman"/>
          <w:sz w:val="24"/>
          <w:szCs w:val="24"/>
          <w:lang w:val="es-ES"/>
        </w:rPr>
        <w:t>llevar a cabo este objetivo</w:t>
      </w:r>
      <w:r>
        <w:rPr>
          <w:rFonts w:ascii="Times New Roman" w:hAnsi="Times New Roman"/>
          <w:sz w:val="24"/>
          <w:szCs w:val="24"/>
          <w:lang w:val="es-ES"/>
        </w:rPr>
        <w:t xml:space="preserve"> desde la Unidad Administrativa Especial de Servicios Públicos-  UAESP </w:t>
      </w:r>
      <w:r w:rsidR="00E80690">
        <w:rPr>
          <w:rFonts w:ascii="Times New Roman" w:hAnsi="Times New Roman"/>
          <w:sz w:val="24"/>
          <w:szCs w:val="24"/>
          <w:lang w:val="es-ES"/>
        </w:rPr>
        <w:t>realizó la a</w:t>
      </w:r>
      <w:r w:rsidRPr="001A20CA">
        <w:rPr>
          <w:rFonts w:ascii="Times New Roman" w:hAnsi="Times New Roman"/>
          <w:sz w:val="24"/>
          <w:szCs w:val="24"/>
          <w:lang w:val="es-ES"/>
        </w:rPr>
        <w:t>ctualización de 37.4</w:t>
      </w:r>
      <w:r w:rsidR="00E80690">
        <w:rPr>
          <w:rFonts w:ascii="Times New Roman" w:hAnsi="Times New Roman"/>
          <w:sz w:val="24"/>
          <w:szCs w:val="24"/>
          <w:lang w:val="es-ES"/>
        </w:rPr>
        <w:t xml:space="preserve">09 luminarias en vías, parques, </w:t>
      </w:r>
      <w:r w:rsidRPr="001A20CA">
        <w:rPr>
          <w:rFonts w:ascii="Times New Roman" w:hAnsi="Times New Roman"/>
          <w:sz w:val="24"/>
          <w:szCs w:val="24"/>
          <w:lang w:val="es-ES"/>
        </w:rPr>
        <w:t xml:space="preserve">alamedas, senderos rutas, plazas y plazoletas </w:t>
      </w:r>
      <w:r w:rsidR="00E80690">
        <w:rPr>
          <w:rFonts w:ascii="Times New Roman" w:hAnsi="Times New Roman"/>
          <w:sz w:val="24"/>
          <w:szCs w:val="24"/>
          <w:lang w:val="es-ES"/>
        </w:rPr>
        <w:t xml:space="preserve">de la ciudad, así mismo </w:t>
      </w:r>
      <w:r w:rsidRPr="001A20CA">
        <w:rPr>
          <w:rFonts w:ascii="Times New Roman" w:hAnsi="Times New Roman"/>
          <w:sz w:val="24"/>
          <w:szCs w:val="24"/>
          <w:lang w:val="es-ES"/>
        </w:rPr>
        <w:t>se han mejorado 293 parques con 8646</w:t>
      </w:r>
      <w:r w:rsidR="00E80690">
        <w:rPr>
          <w:rFonts w:ascii="Times New Roman" w:hAnsi="Times New Roman"/>
          <w:sz w:val="24"/>
          <w:szCs w:val="24"/>
          <w:lang w:val="es-ES"/>
        </w:rPr>
        <w:t xml:space="preserve"> </w:t>
      </w:r>
      <w:r w:rsidRPr="001A20CA">
        <w:rPr>
          <w:rFonts w:ascii="Times New Roman" w:hAnsi="Times New Roman"/>
          <w:sz w:val="24"/>
          <w:szCs w:val="24"/>
          <w:lang w:val="es-ES"/>
        </w:rPr>
        <w:t>l</w:t>
      </w:r>
      <w:r w:rsidR="00E80690">
        <w:rPr>
          <w:rFonts w:ascii="Times New Roman" w:hAnsi="Times New Roman"/>
          <w:sz w:val="24"/>
          <w:szCs w:val="24"/>
          <w:lang w:val="es-ES"/>
        </w:rPr>
        <w:t>uminarias, se realizó</w:t>
      </w:r>
      <w:r w:rsidRPr="001A20CA">
        <w:rPr>
          <w:rFonts w:ascii="Times New Roman" w:hAnsi="Times New Roman"/>
          <w:sz w:val="24"/>
          <w:szCs w:val="24"/>
          <w:lang w:val="es-ES"/>
        </w:rPr>
        <w:t xml:space="preserve"> </w:t>
      </w:r>
      <w:r w:rsidR="00E80690">
        <w:rPr>
          <w:rFonts w:ascii="Times New Roman" w:hAnsi="Times New Roman"/>
          <w:sz w:val="24"/>
          <w:szCs w:val="24"/>
          <w:lang w:val="es-ES"/>
        </w:rPr>
        <w:t>el proyecto especial</w:t>
      </w:r>
      <w:r w:rsidRPr="001A20CA">
        <w:rPr>
          <w:rFonts w:ascii="Times New Roman" w:hAnsi="Times New Roman"/>
          <w:sz w:val="24"/>
          <w:szCs w:val="24"/>
          <w:lang w:val="es-ES"/>
        </w:rPr>
        <w:t>: iluminac</w:t>
      </w:r>
      <w:r w:rsidR="00E80690">
        <w:rPr>
          <w:rFonts w:ascii="Times New Roman" w:hAnsi="Times New Roman"/>
          <w:sz w:val="24"/>
          <w:szCs w:val="24"/>
          <w:lang w:val="es-ES"/>
        </w:rPr>
        <w:t>ión del “Bronx</w:t>
      </w:r>
      <w:r w:rsidRPr="001A20CA">
        <w:rPr>
          <w:rFonts w:ascii="Times New Roman" w:hAnsi="Times New Roman"/>
          <w:sz w:val="24"/>
          <w:szCs w:val="24"/>
          <w:lang w:val="es-ES"/>
        </w:rPr>
        <w:t>,</w:t>
      </w:r>
      <w:r w:rsidR="00E80690">
        <w:rPr>
          <w:rFonts w:ascii="Times New Roman" w:hAnsi="Times New Roman"/>
          <w:sz w:val="24"/>
          <w:szCs w:val="24"/>
          <w:lang w:val="es-ES"/>
        </w:rPr>
        <w:t xml:space="preserve"> y se actualizaron</w:t>
      </w:r>
      <w:r w:rsidRPr="001A20CA">
        <w:rPr>
          <w:rFonts w:ascii="Times New Roman" w:hAnsi="Times New Roman"/>
          <w:sz w:val="24"/>
          <w:szCs w:val="24"/>
          <w:lang w:val="es-ES"/>
        </w:rPr>
        <w:t xml:space="preserve"> las luminarias de la Biblioteca Virgilio Barco y la renovación de la calle 6</w:t>
      </w:r>
      <w:r w:rsidR="00E80690">
        <w:rPr>
          <w:rFonts w:ascii="Times New Roman" w:hAnsi="Times New Roman"/>
          <w:sz w:val="24"/>
          <w:szCs w:val="24"/>
          <w:lang w:val="es-ES"/>
        </w:rPr>
        <w:t>.</w:t>
      </w:r>
      <w:r>
        <w:rPr>
          <w:rFonts w:ascii="Times New Roman" w:hAnsi="Times New Roman"/>
          <w:sz w:val="24"/>
          <w:szCs w:val="24"/>
          <w:lang w:val="es-ES" w:eastAsia="x-none"/>
        </w:rPr>
        <w:t xml:space="preserve"> </w:t>
      </w:r>
    </w:p>
    <w:p w14:paraId="1ED298DC" w14:textId="77777777" w:rsidR="001A20CA" w:rsidRDefault="001A20CA" w:rsidP="009E1F1E">
      <w:pPr>
        <w:rPr>
          <w:rFonts w:ascii="Times New Roman" w:hAnsi="Times New Roman"/>
          <w:sz w:val="24"/>
          <w:szCs w:val="24"/>
          <w:lang w:val="es-ES" w:eastAsia="x-none"/>
        </w:rPr>
      </w:pPr>
    </w:p>
    <w:p w14:paraId="30FC25DC" w14:textId="40D5834C" w:rsidR="00423233" w:rsidRPr="00423233" w:rsidRDefault="00E02F89" w:rsidP="00423233">
      <w:pPr>
        <w:rPr>
          <w:rFonts w:ascii="Times New Roman" w:eastAsiaTheme="majorEastAsia" w:hAnsi="Times New Roman"/>
          <w:b/>
          <w:sz w:val="24"/>
          <w:szCs w:val="24"/>
          <w:u w:val="single"/>
        </w:rPr>
      </w:pPr>
      <w:r>
        <w:rPr>
          <w:rFonts w:ascii="Times New Roman" w:eastAsiaTheme="majorEastAsia" w:hAnsi="Times New Roman"/>
          <w:b/>
          <w:sz w:val="24"/>
          <w:szCs w:val="24"/>
          <w:u w:val="single"/>
        </w:rPr>
        <w:t xml:space="preserve">30 - </w:t>
      </w:r>
      <w:r w:rsidR="00423233">
        <w:rPr>
          <w:rFonts w:ascii="Times New Roman" w:eastAsiaTheme="majorEastAsia" w:hAnsi="Times New Roman"/>
          <w:b/>
          <w:sz w:val="24"/>
          <w:szCs w:val="24"/>
          <w:u w:val="single"/>
        </w:rPr>
        <w:t>Financiación para e</w:t>
      </w:r>
      <w:r w:rsidR="00423233" w:rsidRPr="00423233">
        <w:rPr>
          <w:rFonts w:ascii="Times New Roman" w:eastAsiaTheme="majorEastAsia" w:hAnsi="Times New Roman"/>
          <w:b/>
          <w:sz w:val="24"/>
          <w:szCs w:val="24"/>
          <w:u w:val="single"/>
        </w:rPr>
        <w:t>l Desarrollo Territorial</w:t>
      </w:r>
    </w:p>
    <w:p w14:paraId="5445405D" w14:textId="77777777" w:rsidR="00423233" w:rsidRPr="001959FF" w:rsidRDefault="00423233" w:rsidP="00423233">
      <w:pPr>
        <w:rPr>
          <w:rFonts w:ascii="Times New Roman" w:hAnsi="Times New Roman"/>
          <w:sz w:val="24"/>
          <w:szCs w:val="24"/>
        </w:rPr>
      </w:pPr>
    </w:p>
    <w:p w14:paraId="7FC308A6" w14:textId="7E8F0F6F" w:rsidR="00423233" w:rsidRPr="001959FF" w:rsidRDefault="00423233" w:rsidP="00423233">
      <w:pPr>
        <w:rPr>
          <w:rFonts w:ascii="Times New Roman" w:hAnsi="Times New Roman"/>
          <w:sz w:val="24"/>
          <w:szCs w:val="24"/>
        </w:rPr>
      </w:pPr>
      <w:r>
        <w:rPr>
          <w:rFonts w:ascii="Times New Roman" w:hAnsi="Times New Roman"/>
          <w:sz w:val="24"/>
          <w:szCs w:val="24"/>
        </w:rPr>
        <w:t>Este</w:t>
      </w:r>
      <w:r w:rsidRPr="001959FF">
        <w:rPr>
          <w:rFonts w:ascii="Times New Roman" w:hAnsi="Times New Roman"/>
          <w:sz w:val="24"/>
          <w:szCs w:val="24"/>
        </w:rPr>
        <w:t xml:space="preserve"> programa pretende estructurar y poner en ejecución instrumentos de financiación para la gestión del suelo en intervenciones integrales del hábitat, conjuntamente con las entidades competentes.</w:t>
      </w:r>
    </w:p>
    <w:p w14:paraId="782FB27A" w14:textId="77777777" w:rsidR="00423233" w:rsidRPr="001959FF" w:rsidRDefault="00423233" w:rsidP="00423233">
      <w:pPr>
        <w:rPr>
          <w:rFonts w:ascii="Times New Roman" w:hAnsi="Times New Roman"/>
          <w:sz w:val="24"/>
          <w:szCs w:val="24"/>
        </w:rPr>
      </w:pPr>
    </w:p>
    <w:p w14:paraId="58DEDAFE" w14:textId="77777777" w:rsidR="00423233" w:rsidRPr="001959FF" w:rsidRDefault="00423233" w:rsidP="00423233">
      <w:pPr>
        <w:rPr>
          <w:rFonts w:ascii="Times New Roman" w:hAnsi="Times New Roman"/>
          <w:i/>
          <w:sz w:val="24"/>
          <w:szCs w:val="24"/>
          <w:lang w:val="es-ES"/>
        </w:rPr>
      </w:pPr>
      <w:r w:rsidRPr="001959FF">
        <w:rPr>
          <w:rFonts w:ascii="Times New Roman" w:hAnsi="Times New Roman"/>
          <w:sz w:val="24"/>
          <w:szCs w:val="24"/>
          <w:lang w:val="es-ES"/>
        </w:rPr>
        <w:t>Para llevar a cabo este objetivo, es necesario contar con un nuevo sistema de financiación el cual incluya procesos de captura de valor, cargas urbanísticas, alianzas con el sector privado, aportes del Distrito Capital para la financiación de vivienda, derechos de construcción y desarrollo, entre otros.</w:t>
      </w:r>
      <w:r w:rsidRPr="001959FF">
        <w:rPr>
          <w:rStyle w:val="Refdenotaalpie"/>
          <w:rFonts w:ascii="Times New Roman" w:hAnsi="Times New Roman"/>
          <w:sz w:val="24"/>
          <w:szCs w:val="24"/>
          <w:lang w:val="es-ES"/>
        </w:rPr>
        <w:footnoteReference w:id="2"/>
      </w:r>
      <w:r w:rsidRPr="001959FF">
        <w:rPr>
          <w:rFonts w:ascii="Times New Roman" w:hAnsi="Times New Roman"/>
          <w:sz w:val="24"/>
          <w:szCs w:val="24"/>
          <w:lang w:val="es-ES"/>
        </w:rPr>
        <w:t xml:space="preserve"> De manera paralela es necesario buscar la habilitación de nuevas hectáreas para la gestión de suelo y construcción de vivienda de interés social. En este marco,</w:t>
      </w:r>
      <w:r>
        <w:rPr>
          <w:rFonts w:ascii="Times New Roman" w:hAnsi="Times New Roman"/>
          <w:sz w:val="24"/>
          <w:szCs w:val="24"/>
          <w:lang w:val="es-ES"/>
        </w:rPr>
        <w:t xml:space="preserve"> el</w:t>
      </w:r>
      <w:r w:rsidRPr="001959FF">
        <w:rPr>
          <w:rFonts w:ascii="Times New Roman" w:hAnsi="Times New Roman"/>
          <w:sz w:val="24"/>
          <w:szCs w:val="24"/>
          <w:lang w:val="es-ES"/>
        </w:rPr>
        <w:t xml:space="preserve"> </w:t>
      </w:r>
      <w:r w:rsidRPr="001959FF">
        <w:rPr>
          <w:rFonts w:ascii="Times New Roman" w:hAnsi="Times New Roman"/>
          <w:sz w:val="24"/>
          <w:szCs w:val="24"/>
        </w:rPr>
        <w:t xml:space="preserve">Plan de Desarrollo Bogotá Mejor Para Todos </w:t>
      </w:r>
      <w:r w:rsidRPr="001959FF">
        <w:rPr>
          <w:rFonts w:ascii="Times New Roman" w:hAnsi="Times New Roman"/>
          <w:sz w:val="24"/>
          <w:szCs w:val="24"/>
          <w:lang w:val="es-ES"/>
        </w:rPr>
        <w:t>planteó la meta</w:t>
      </w:r>
      <w:r>
        <w:rPr>
          <w:rFonts w:ascii="Times New Roman" w:hAnsi="Times New Roman"/>
          <w:sz w:val="24"/>
          <w:szCs w:val="24"/>
          <w:lang w:val="es-ES"/>
        </w:rPr>
        <w:t xml:space="preserve"> de</w:t>
      </w:r>
      <w:r w:rsidRPr="001959FF">
        <w:rPr>
          <w:rFonts w:ascii="Times New Roman" w:hAnsi="Times New Roman"/>
          <w:sz w:val="24"/>
          <w:szCs w:val="24"/>
          <w:lang w:val="es-ES"/>
        </w:rPr>
        <w:t xml:space="preserve"> producto </w:t>
      </w:r>
      <w:r w:rsidRPr="001959FF">
        <w:rPr>
          <w:rFonts w:ascii="Times New Roman" w:hAnsi="Times New Roman"/>
          <w:i/>
          <w:sz w:val="24"/>
          <w:szCs w:val="24"/>
          <w:lang w:val="es-ES"/>
        </w:rPr>
        <w:t>“80 hectáreas útiles para vivienda de interés social gestionadas”</w:t>
      </w:r>
      <w:r>
        <w:rPr>
          <w:rFonts w:ascii="Times New Roman" w:hAnsi="Times New Roman"/>
          <w:i/>
          <w:sz w:val="24"/>
          <w:szCs w:val="24"/>
          <w:lang w:val="es-ES"/>
        </w:rPr>
        <w:t>.</w:t>
      </w:r>
    </w:p>
    <w:p w14:paraId="78843908" w14:textId="77777777" w:rsidR="00423233" w:rsidRPr="001959FF" w:rsidRDefault="00423233" w:rsidP="00423233">
      <w:pPr>
        <w:rPr>
          <w:rFonts w:ascii="Times New Roman" w:hAnsi="Times New Roman"/>
          <w:sz w:val="24"/>
          <w:szCs w:val="24"/>
        </w:rPr>
      </w:pPr>
    </w:p>
    <w:p w14:paraId="038CE44B" w14:textId="77777777" w:rsidR="00423233" w:rsidRPr="001959FF" w:rsidRDefault="00423233" w:rsidP="00423233">
      <w:pPr>
        <w:rPr>
          <w:rFonts w:ascii="Times New Roman" w:hAnsi="Times New Roman"/>
          <w:sz w:val="24"/>
          <w:szCs w:val="24"/>
          <w:lang w:val="es-ES"/>
        </w:rPr>
      </w:pPr>
      <w:r w:rsidRPr="001959FF">
        <w:rPr>
          <w:rFonts w:ascii="Times New Roman" w:hAnsi="Times New Roman"/>
          <w:sz w:val="24"/>
          <w:szCs w:val="24"/>
        </w:rPr>
        <w:t>Bajo el lineamiento de este programa</w:t>
      </w:r>
      <w:r>
        <w:rPr>
          <w:rFonts w:ascii="Times New Roman" w:hAnsi="Times New Roman"/>
          <w:sz w:val="24"/>
          <w:szCs w:val="24"/>
        </w:rPr>
        <w:t>,</w:t>
      </w:r>
      <w:r w:rsidRPr="001959FF">
        <w:rPr>
          <w:rFonts w:ascii="Times New Roman" w:hAnsi="Times New Roman"/>
          <w:sz w:val="24"/>
          <w:szCs w:val="24"/>
        </w:rPr>
        <w:t xml:space="preserve"> la Secretaría Distrital del hábitat, formuló el proyecto de inversión 1075 - </w:t>
      </w:r>
      <w:r w:rsidRPr="001959FF">
        <w:rPr>
          <w:rFonts w:ascii="Times New Roman" w:hAnsi="Times New Roman"/>
          <w:bCs/>
          <w:color w:val="000000"/>
          <w:sz w:val="24"/>
          <w:szCs w:val="24"/>
        </w:rPr>
        <w:t xml:space="preserve">Estructuración de instrumentos de financiación para el desarrollo territorial, el cual pretende estructurar instrumentos de financiación </w:t>
      </w:r>
      <w:r w:rsidRPr="001959FF">
        <w:rPr>
          <w:rFonts w:ascii="Times New Roman" w:hAnsi="Times New Roman"/>
          <w:sz w:val="24"/>
          <w:szCs w:val="24"/>
          <w:lang w:val="es-ES"/>
        </w:rPr>
        <w:t>que permitan aumentar el ingreso por captura de valor para bajar la dependencia de autofinanciación a través del recaudo a privados.</w:t>
      </w:r>
    </w:p>
    <w:p w14:paraId="2C3ED9BA" w14:textId="77777777" w:rsidR="00423233" w:rsidRPr="001959FF" w:rsidRDefault="00423233" w:rsidP="00423233">
      <w:pPr>
        <w:rPr>
          <w:rFonts w:ascii="Times New Roman" w:hAnsi="Times New Roman"/>
          <w:sz w:val="24"/>
          <w:szCs w:val="24"/>
          <w:lang w:val="es-ES"/>
        </w:rPr>
      </w:pPr>
    </w:p>
    <w:p w14:paraId="023382CD" w14:textId="77777777" w:rsidR="00423233" w:rsidRPr="001959FF" w:rsidRDefault="00423233" w:rsidP="00423233">
      <w:pPr>
        <w:rPr>
          <w:rFonts w:ascii="Times New Roman" w:eastAsia="Calibri" w:hAnsi="Times New Roman"/>
          <w:color w:val="222A35"/>
          <w:sz w:val="24"/>
          <w:szCs w:val="24"/>
          <w:lang w:val="es-CO" w:eastAsia="es-CO"/>
        </w:rPr>
      </w:pPr>
      <w:r w:rsidRPr="001959FF">
        <w:rPr>
          <w:rFonts w:ascii="Times New Roman" w:hAnsi="Times New Roman"/>
          <w:sz w:val="24"/>
          <w:szCs w:val="24"/>
          <w:lang w:val="es-ES"/>
        </w:rPr>
        <w:t xml:space="preserve">En el segundo semestre de 2016, la </w:t>
      </w:r>
      <w:r>
        <w:rPr>
          <w:rFonts w:ascii="Times New Roman" w:hAnsi="Times New Roman"/>
          <w:sz w:val="24"/>
          <w:szCs w:val="24"/>
          <w:lang w:val="es-ES"/>
        </w:rPr>
        <w:t>SDHT</w:t>
      </w:r>
      <w:r w:rsidRPr="001959FF">
        <w:rPr>
          <w:rFonts w:ascii="Times New Roman" w:hAnsi="Times New Roman"/>
          <w:sz w:val="24"/>
          <w:szCs w:val="24"/>
          <w:lang w:val="es-ES"/>
        </w:rPr>
        <w:t xml:space="preserve"> adelantó un proceso de estructuración de instrumentos de financiación, consistente en propuestas de tipo jurídico-normativo, técnico y financiero. Como punto de partida se diseñó una metodología para la identificación espacial y análisis económico de zonas con oportunidad para el desarrollo de intervenciones integrales del hábitat. La metodología contiene aspectos técnicos, procedimientos e instrumentos de valoración de las características de las zonas de oportunidad en las cuales se aplican las modelaciones de los instrumentos financieros: derechos de construcción, derechos adicionales de construcción y pignoración del predial.</w:t>
      </w:r>
    </w:p>
    <w:p w14:paraId="0D2D97DE" w14:textId="77777777" w:rsidR="00423233" w:rsidRPr="001959FF" w:rsidRDefault="00423233" w:rsidP="00423233">
      <w:pPr>
        <w:rPr>
          <w:rFonts w:ascii="Times New Roman" w:eastAsia="Calibri" w:hAnsi="Times New Roman"/>
          <w:color w:val="222A35"/>
          <w:sz w:val="24"/>
          <w:szCs w:val="24"/>
          <w:lang w:val="es-CO" w:eastAsia="es-CO"/>
        </w:rPr>
      </w:pPr>
    </w:p>
    <w:p w14:paraId="2927C544" w14:textId="77777777" w:rsidR="00423233" w:rsidRPr="001959FF" w:rsidRDefault="00423233" w:rsidP="00423233">
      <w:pPr>
        <w:rPr>
          <w:rFonts w:ascii="Times New Roman" w:hAnsi="Times New Roman"/>
          <w:bCs/>
          <w:color w:val="000000"/>
          <w:sz w:val="24"/>
          <w:szCs w:val="24"/>
        </w:rPr>
      </w:pPr>
      <w:r w:rsidRPr="001959FF">
        <w:rPr>
          <w:rFonts w:ascii="Times New Roman" w:hAnsi="Times New Roman"/>
          <w:bCs/>
          <w:color w:val="000000"/>
          <w:sz w:val="24"/>
          <w:szCs w:val="24"/>
        </w:rPr>
        <w:t xml:space="preserve">Fueron identificadas 10 áreas de oportunidad, </w:t>
      </w:r>
      <w:r>
        <w:rPr>
          <w:rFonts w:ascii="Times New Roman" w:hAnsi="Times New Roman"/>
          <w:bCs/>
          <w:color w:val="000000"/>
          <w:sz w:val="24"/>
          <w:szCs w:val="24"/>
        </w:rPr>
        <w:t>donde se realizó una caracterización que reconocer la</w:t>
      </w:r>
      <w:r w:rsidRPr="001959FF">
        <w:rPr>
          <w:rFonts w:ascii="Times New Roman" w:hAnsi="Times New Roman"/>
          <w:bCs/>
          <w:color w:val="000000"/>
          <w:sz w:val="24"/>
          <w:szCs w:val="24"/>
        </w:rPr>
        <w:t xml:space="preserve"> dinámica territorial e inmobiliaria, con el propósito de establecer la vocación de posibles intervenciones urbanas a desarrollar, de igual forma se realizaron los cálculos definitivos del índice de oportunidad y la modelación económica según tipo de instrumento. Con el fin de consolidar la información y presentar los instrumentos de financiación, para su respectiva adopción, se redactó un Documento Técnico de Soporte. </w:t>
      </w:r>
    </w:p>
    <w:p w14:paraId="75C79336" w14:textId="77777777" w:rsidR="00423233" w:rsidRPr="001959FF" w:rsidRDefault="00423233" w:rsidP="00423233">
      <w:pPr>
        <w:rPr>
          <w:rFonts w:ascii="Times New Roman" w:hAnsi="Times New Roman"/>
          <w:bCs/>
          <w:color w:val="000000"/>
          <w:sz w:val="24"/>
          <w:szCs w:val="24"/>
        </w:rPr>
      </w:pPr>
    </w:p>
    <w:p w14:paraId="5649EE95" w14:textId="77777777" w:rsidR="00A55F1A" w:rsidRDefault="00A55F1A" w:rsidP="00423233">
      <w:pPr>
        <w:pStyle w:val="Descripcin"/>
        <w:spacing w:after="0"/>
        <w:jc w:val="center"/>
        <w:rPr>
          <w:rFonts w:ascii="Times New Roman" w:hAnsi="Times New Roman" w:cs="Times New Roman"/>
          <w:b w:val="0"/>
          <w:color w:val="auto"/>
          <w:sz w:val="24"/>
          <w:szCs w:val="24"/>
        </w:rPr>
      </w:pPr>
    </w:p>
    <w:p w14:paraId="0467878D" w14:textId="73513B5E" w:rsidR="00423233" w:rsidRPr="00423233" w:rsidRDefault="00423233" w:rsidP="00423233">
      <w:pPr>
        <w:pStyle w:val="Descripcin"/>
        <w:spacing w:after="0"/>
        <w:jc w:val="center"/>
        <w:rPr>
          <w:rFonts w:ascii="Times New Roman" w:hAnsi="Times New Roman" w:cs="Times New Roman"/>
          <w:b w:val="0"/>
          <w:color w:val="auto"/>
          <w:sz w:val="24"/>
          <w:szCs w:val="24"/>
          <w:lang w:val="es-MX"/>
        </w:rPr>
      </w:pPr>
      <w:r w:rsidRPr="00423233">
        <w:rPr>
          <w:rFonts w:ascii="Times New Roman" w:hAnsi="Times New Roman" w:cs="Times New Roman"/>
          <w:b w:val="0"/>
          <w:color w:val="auto"/>
          <w:sz w:val="24"/>
          <w:szCs w:val="24"/>
        </w:rPr>
        <w:t xml:space="preserve">Tabla </w:t>
      </w:r>
      <w:r w:rsidRPr="00423233">
        <w:rPr>
          <w:rFonts w:ascii="Times New Roman" w:hAnsi="Times New Roman" w:cs="Times New Roman"/>
          <w:b w:val="0"/>
          <w:color w:val="auto"/>
          <w:sz w:val="24"/>
          <w:szCs w:val="24"/>
          <w:lang w:val="es-MX"/>
        </w:rPr>
        <w:t>Áreas de oportunidad identificados</w:t>
      </w:r>
    </w:p>
    <w:tbl>
      <w:tblPr>
        <w:tblStyle w:val="Tablaconcuadrcula"/>
        <w:tblW w:w="0" w:type="auto"/>
        <w:jc w:val="center"/>
        <w:tblLook w:val="04A0" w:firstRow="1" w:lastRow="0" w:firstColumn="1" w:lastColumn="0" w:noHBand="0" w:noVBand="1"/>
      </w:tblPr>
      <w:tblGrid>
        <w:gridCol w:w="3144"/>
        <w:gridCol w:w="2384"/>
      </w:tblGrid>
      <w:tr w:rsidR="00423233" w:rsidRPr="00423233" w14:paraId="1DBA7A46" w14:textId="77777777" w:rsidTr="00423233">
        <w:trPr>
          <w:jc w:val="center"/>
        </w:trPr>
        <w:tc>
          <w:tcPr>
            <w:tcW w:w="3144" w:type="dxa"/>
            <w:shd w:val="clear" w:color="auto" w:fill="9CC2E5"/>
          </w:tcPr>
          <w:p w14:paraId="12C7F0EF" w14:textId="77777777" w:rsidR="00423233" w:rsidRPr="00423233" w:rsidRDefault="00423233" w:rsidP="00D07A01">
            <w:pPr>
              <w:jc w:val="center"/>
              <w:rPr>
                <w:rFonts w:ascii="Times New Roman" w:hAnsi="Times New Roman"/>
                <w:b/>
                <w:bCs/>
                <w:color w:val="000000"/>
                <w:sz w:val="20"/>
              </w:rPr>
            </w:pPr>
            <w:r w:rsidRPr="00423233">
              <w:rPr>
                <w:rFonts w:ascii="Times New Roman" w:hAnsi="Times New Roman"/>
                <w:b/>
                <w:bCs/>
                <w:color w:val="000000"/>
                <w:sz w:val="20"/>
              </w:rPr>
              <w:t>Localidad</w:t>
            </w:r>
          </w:p>
        </w:tc>
        <w:tc>
          <w:tcPr>
            <w:tcW w:w="2384" w:type="dxa"/>
            <w:shd w:val="clear" w:color="auto" w:fill="9CC2E5"/>
          </w:tcPr>
          <w:p w14:paraId="1B72C9F5" w14:textId="77777777" w:rsidR="00423233" w:rsidRPr="00423233" w:rsidRDefault="00423233" w:rsidP="00D07A01">
            <w:pPr>
              <w:jc w:val="center"/>
              <w:rPr>
                <w:rFonts w:ascii="Times New Roman" w:hAnsi="Times New Roman"/>
                <w:b/>
                <w:bCs/>
                <w:color w:val="000000"/>
                <w:sz w:val="20"/>
              </w:rPr>
            </w:pPr>
            <w:r w:rsidRPr="00423233">
              <w:rPr>
                <w:rFonts w:ascii="Times New Roman" w:hAnsi="Times New Roman"/>
                <w:b/>
                <w:bCs/>
                <w:color w:val="000000"/>
                <w:sz w:val="20"/>
              </w:rPr>
              <w:t>Área</w:t>
            </w:r>
          </w:p>
        </w:tc>
      </w:tr>
      <w:tr w:rsidR="00423233" w:rsidRPr="00423233" w14:paraId="13379E34" w14:textId="77777777" w:rsidTr="00423233">
        <w:trPr>
          <w:jc w:val="center"/>
        </w:trPr>
        <w:tc>
          <w:tcPr>
            <w:tcW w:w="3144" w:type="dxa"/>
          </w:tcPr>
          <w:p w14:paraId="15F180BC"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Santafé</w:t>
            </w:r>
          </w:p>
        </w:tc>
        <w:tc>
          <w:tcPr>
            <w:tcW w:w="2384" w:type="dxa"/>
          </w:tcPr>
          <w:p w14:paraId="6CE473B3"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 xml:space="preserve">San Diego </w:t>
            </w:r>
          </w:p>
        </w:tc>
      </w:tr>
      <w:tr w:rsidR="00423233" w:rsidRPr="00423233" w14:paraId="382EF180" w14:textId="77777777" w:rsidTr="00423233">
        <w:trPr>
          <w:jc w:val="center"/>
        </w:trPr>
        <w:tc>
          <w:tcPr>
            <w:tcW w:w="3144" w:type="dxa"/>
          </w:tcPr>
          <w:p w14:paraId="57BCF440"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Candelaria – Santafé – Los mártires</w:t>
            </w:r>
          </w:p>
        </w:tc>
        <w:tc>
          <w:tcPr>
            <w:tcW w:w="2384" w:type="dxa"/>
          </w:tcPr>
          <w:p w14:paraId="06F32068"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PEMP</w:t>
            </w:r>
          </w:p>
        </w:tc>
      </w:tr>
      <w:tr w:rsidR="00423233" w:rsidRPr="00423233" w14:paraId="5983D044" w14:textId="77777777" w:rsidTr="00423233">
        <w:trPr>
          <w:jc w:val="center"/>
        </w:trPr>
        <w:tc>
          <w:tcPr>
            <w:tcW w:w="3144" w:type="dxa"/>
          </w:tcPr>
          <w:p w14:paraId="7BF38C6B"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Barrios unidos</w:t>
            </w:r>
          </w:p>
        </w:tc>
        <w:tc>
          <w:tcPr>
            <w:tcW w:w="2384" w:type="dxa"/>
          </w:tcPr>
          <w:p w14:paraId="495EEBAB"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Las ferias</w:t>
            </w:r>
          </w:p>
        </w:tc>
      </w:tr>
      <w:tr w:rsidR="00423233" w:rsidRPr="00423233" w14:paraId="736E50E2" w14:textId="77777777" w:rsidTr="00423233">
        <w:trPr>
          <w:jc w:val="center"/>
        </w:trPr>
        <w:tc>
          <w:tcPr>
            <w:tcW w:w="3144" w:type="dxa"/>
          </w:tcPr>
          <w:p w14:paraId="30D9B60B"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Los mártires</w:t>
            </w:r>
          </w:p>
        </w:tc>
        <w:tc>
          <w:tcPr>
            <w:tcW w:w="2384" w:type="dxa"/>
          </w:tcPr>
          <w:p w14:paraId="2B2988B5"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Bronx</w:t>
            </w:r>
          </w:p>
        </w:tc>
      </w:tr>
      <w:tr w:rsidR="00423233" w:rsidRPr="00423233" w14:paraId="0464E63A" w14:textId="77777777" w:rsidTr="00423233">
        <w:trPr>
          <w:jc w:val="center"/>
        </w:trPr>
        <w:tc>
          <w:tcPr>
            <w:tcW w:w="3144" w:type="dxa"/>
          </w:tcPr>
          <w:p w14:paraId="6A21D2BA"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Los mártires</w:t>
            </w:r>
          </w:p>
        </w:tc>
        <w:tc>
          <w:tcPr>
            <w:tcW w:w="2384" w:type="dxa"/>
          </w:tcPr>
          <w:p w14:paraId="2E9E27AD"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San Bernardo</w:t>
            </w:r>
          </w:p>
        </w:tc>
      </w:tr>
      <w:tr w:rsidR="00423233" w:rsidRPr="00423233" w14:paraId="446B8504" w14:textId="77777777" w:rsidTr="00423233">
        <w:trPr>
          <w:jc w:val="center"/>
        </w:trPr>
        <w:tc>
          <w:tcPr>
            <w:tcW w:w="3144" w:type="dxa"/>
          </w:tcPr>
          <w:p w14:paraId="2DE0F266"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Puente Aranda</w:t>
            </w:r>
          </w:p>
        </w:tc>
        <w:tc>
          <w:tcPr>
            <w:tcW w:w="2384" w:type="dxa"/>
          </w:tcPr>
          <w:p w14:paraId="29BFF6CB"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Puente Aranda</w:t>
            </w:r>
          </w:p>
        </w:tc>
      </w:tr>
      <w:tr w:rsidR="00423233" w:rsidRPr="00423233" w14:paraId="5F16CAE0" w14:textId="77777777" w:rsidTr="00423233">
        <w:trPr>
          <w:jc w:val="center"/>
        </w:trPr>
        <w:tc>
          <w:tcPr>
            <w:tcW w:w="3144" w:type="dxa"/>
          </w:tcPr>
          <w:p w14:paraId="6BDAB7ED"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Chapinero</w:t>
            </w:r>
          </w:p>
        </w:tc>
        <w:tc>
          <w:tcPr>
            <w:tcW w:w="2384" w:type="dxa"/>
          </w:tcPr>
          <w:p w14:paraId="40CEF842"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Carrera 15</w:t>
            </w:r>
          </w:p>
        </w:tc>
      </w:tr>
      <w:tr w:rsidR="00423233" w:rsidRPr="00423233" w14:paraId="2E67F314" w14:textId="77777777" w:rsidTr="00423233">
        <w:trPr>
          <w:jc w:val="center"/>
        </w:trPr>
        <w:tc>
          <w:tcPr>
            <w:tcW w:w="3144" w:type="dxa"/>
          </w:tcPr>
          <w:p w14:paraId="0871D77C"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Barrios unidos</w:t>
            </w:r>
          </w:p>
        </w:tc>
        <w:tc>
          <w:tcPr>
            <w:tcW w:w="2384" w:type="dxa"/>
          </w:tcPr>
          <w:p w14:paraId="126456F0"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Polo</w:t>
            </w:r>
          </w:p>
        </w:tc>
      </w:tr>
      <w:tr w:rsidR="00423233" w:rsidRPr="00423233" w14:paraId="7287231A" w14:textId="77777777" w:rsidTr="00423233">
        <w:trPr>
          <w:jc w:val="center"/>
        </w:trPr>
        <w:tc>
          <w:tcPr>
            <w:tcW w:w="3144" w:type="dxa"/>
          </w:tcPr>
          <w:p w14:paraId="64E52174"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Fontibón - Engativá</w:t>
            </w:r>
          </w:p>
        </w:tc>
        <w:tc>
          <w:tcPr>
            <w:tcW w:w="2384" w:type="dxa"/>
          </w:tcPr>
          <w:p w14:paraId="45413B27"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Calle 63</w:t>
            </w:r>
          </w:p>
        </w:tc>
      </w:tr>
      <w:tr w:rsidR="00423233" w:rsidRPr="00423233" w14:paraId="4D9EF60F" w14:textId="77777777" w:rsidTr="00423233">
        <w:trPr>
          <w:jc w:val="center"/>
        </w:trPr>
        <w:tc>
          <w:tcPr>
            <w:tcW w:w="3144" w:type="dxa"/>
          </w:tcPr>
          <w:p w14:paraId="455A97C7"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Engativá</w:t>
            </w:r>
          </w:p>
        </w:tc>
        <w:tc>
          <w:tcPr>
            <w:tcW w:w="2384" w:type="dxa"/>
          </w:tcPr>
          <w:p w14:paraId="3F7D8688" w14:textId="77777777" w:rsidR="00423233" w:rsidRPr="00423233" w:rsidRDefault="00423233" w:rsidP="00D07A01">
            <w:pPr>
              <w:rPr>
                <w:rFonts w:ascii="Times New Roman" w:hAnsi="Times New Roman"/>
                <w:bCs/>
                <w:color w:val="000000"/>
                <w:sz w:val="20"/>
              </w:rPr>
            </w:pPr>
            <w:r w:rsidRPr="00423233">
              <w:rPr>
                <w:rFonts w:ascii="Times New Roman" w:hAnsi="Times New Roman"/>
                <w:bCs/>
                <w:color w:val="000000"/>
                <w:sz w:val="20"/>
              </w:rPr>
              <w:t>Ciudad Rio</w:t>
            </w:r>
          </w:p>
        </w:tc>
      </w:tr>
    </w:tbl>
    <w:p w14:paraId="66527171" w14:textId="77777777" w:rsidR="00423233" w:rsidRPr="001959FF" w:rsidRDefault="00423233" w:rsidP="00423233">
      <w:pPr>
        <w:ind w:firstLine="708"/>
        <w:jc w:val="center"/>
        <w:rPr>
          <w:rFonts w:ascii="Times New Roman" w:hAnsi="Times New Roman"/>
          <w:sz w:val="20"/>
        </w:rPr>
      </w:pPr>
      <w:r w:rsidRPr="001959FF">
        <w:rPr>
          <w:rFonts w:ascii="Times New Roman" w:hAnsi="Times New Roman"/>
          <w:sz w:val="20"/>
        </w:rPr>
        <w:t xml:space="preserve">Fuente: Subdirección de recursos privados </w:t>
      </w:r>
      <w:r>
        <w:rPr>
          <w:rFonts w:ascii="Times New Roman" w:hAnsi="Times New Roman"/>
          <w:sz w:val="20"/>
        </w:rPr>
        <w:t>–</w:t>
      </w:r>
      <w:r w:rsidRPr="001959FF">
        <w:rPr>
          <w:rFonts w:ascii="Times New Roman" w:hAnsi="Times New Roman"/>
          <w:sz w:val="20"/>
        </w:rPr>
        <w:t xml:space="preserve"> SDHT</w:t>
      </w:r>
      <w:r>
        <w:rPr>
          <w:rFonts w:ascii="Times New Roman" w:hAnsi="Times New Roman"/>
          <w:sz w:val="20"/>
        </w:rPr>
        <w:t>.</w:t>
      </w:r>
    </w:p>
    <w:p w14:paraId="03D6EDA5" w14:textId="77777777" w:rsidR="00423233" w:rsidRPr="001959FF" w:rsidRDefault="00423233" w:rsidP="00423233">
      <w:pPr>
        <w:rPr>
          <w:rFonts w:ascii="Times New Roman" w:hAnsi="Times New Roman"/>
          <w:bCs/>
          <w:color w:val="000000"/>
          <w:sz w:val="24"/>
          <w:szCs w:val="24"/>
        </w:rPr>
      </w:pPr>
    </w:p>
    <w:p w14:paraId="67679480" w14:textId="77777777" w:rsidR="00423233" w:rsidRPr="001959FF" w:rsidRDefault="00423233" w:rsidP="00423233">
      <w:pPr>
        <w:rPr>
          <w:rFonts w:ascii="Times New Roman" w:hAnsi="Times New Roman"/>
          <w:bCs/>
          <w:color w:val="000000"/>
          <w:sz w:val="24"/>
          <w:szCs w:val="24"/>
        </w:rPr>
      </w:pPr>
      <w:r w:rsidRPr="001959FF">
        <w:rPr>
          <w:rFonts w:ascii="Times New Roman" w:hAnsi="Times New Roman"/>
          <w:bCs/>
          <w:color w:val="000000"/>
          <w:sz w:val="24"/>
          <w:szCs w:val="24"/>
        </w:rPr>
        <w:t>Los resultados obtenidos a la fecha permiten dar claridad en la reglamentación y formalización técnica de instrumentos contemplados en la Ley 388 de 1997.</w:t>
      </w:r>
    </w:p>
    <w:p w14:paraId="0BB8F03C" w14:textId="77777777" w:rsidR="00423233" w:rsidRPr="001959FF" w:rsidRDefault="00423233" w:rsidP="00423233">
      <w:pPr>
        <w:rPr>
          <w:rFonts w:ascii="Times New Roman" w:hAnsi="Times New Roman"/>
          <w:bCs/>
          <w:color w:val="000000"/>
          <w:sz w:val="24"/>
          <w:szCs w:val="24"/>
        </w:rPr>
      </w:pPr>
    </w:p>
    <w:p w14:paraId="50E4D954" w14:textId="77777777" w:rsidR="00423233" w:rsidRPr="001959FF" w:rsidRDefault="00423233" w:rsidP="00423233">
      <w:pPr>
        <w:rPr>
          <w:rFonts w:ascii="Times New Roman" w:hAnsi="Times New Roman"/>
          <w:bCs/>
          <w:color w:val="000000"/>
          <w:sz w:val="24"/>
          <w:szCs w:val="24"/>
        </w:rPr>
      </w:pPr>
      <w:r w:rsidRPr="001959FF">
        <w:rPr>
          <w:rFonts w:ascii="Times New Roman" w:hAnsi="Times New Roman"/>
          <w:bCs/>
          <w:color w:val="000000"/>
          <w:sz w:val="24"/>
          <w:szCs w:val="24"/>
        </w:rPr>
        <w:t>Con base en los resultados obtenidos en la modelación para identificar áreas de oportunidad en los 10 territorios analizados, la SDHT podrá direccionar y priorizar las áreas de intervención para los próximos tres años en el marco del Plan de Desarrollo. Estos resultados han servido igualmente de soporte en la estructuración del Decreto de intervenciones integrales del Hábitat que actualmente está en proceso de validación.</w:t>
      </w:r>
    </w:p>
    <w:p w14:paraId="767259CF" w14:textId="77777777" w:rsidR="00423233" w:rsidRPr="001959FF" w:rsidRDefault="00423233" w:rsidP="00423233">
      <w:pPr>
        <w:rPr>
          <w:rFonts w:ascii="Times New Roman" w:hAnsi="Times New Roman"/>
          <w:bCs/>
          <w:color w:val="000000"/>
          <w:sz w:val="24"/>
          <w:szCs w:val="24"/>
        </w:rPr>
      </w:pPr>
    </w:p>
    <w:p w14:paraId="1BEC426D" w14:textId="77777777" w:rsidR="00423233" w:rsidRPr="001959FF" w:rsidRDefault="00423233" w:rsidP="00423233">
      <w:pPr>
        <w:rPr>
          <w:rFonts w:ascii="Times New Roman" w:hAnsi="Times New Roman"/>
          <w:sz w:val="24"/>
          <w:szCs w:val="24"/>
        </w:rPr>
      </w:pPr>
      <w:r w:rsidRPr="001959FF">
        <w:rPr>
          <w:rFonts w:ascii="Times New Roman" w:hAnsi="Times New Roman"/>
          <w:bCs/>
          <w:color w:val="000000"/>
          <w:sz w:val="24"/>
          <w:szCs w:val="24"/>
        </w:rPr>
        <w:t>De otro lado, la Secretaría ha estado gestionando el Programa Integral de Vivienda Efectiva -PIVE-, reglamentado mediante Decreto 623 ​del 26 de diciembre ​de 201​6, cuya finalidad es propiciar las condiciones necesarias para lograr que los hogares localizados en Bogotá, que se encuentran en condición de vulnerabilidad o de desplazamiento forzado por el conflicto armado interno, cuenten con acompañamiento desde los programas sociales a cargo de la Administración Distrital, incluido el acceso a una vivienda digna, con el fin de disminuir de manera integral los factores que mantienen o acentúan sus condiciones de vulnerabilidad y pobreza.</w:t>
      </w:r>
      <w:r w:rsidRPr="001959FF">
        <w:rPr>
          <w:rFonts w:ascii="Times New Roman" w:hAnsi="Times New Roman"/>
          <w:sz w:val="24"/>
          <w:szCs w:val="24"/>
        </w:rPr>
        <w:t xml:space="preserve"> </w:t>
      </w:r>
    </w:p>
    <w:p w14:paraId="51BD1C8C" w14:textId="77777777" w:rsidR="00423233" w:rsidRPr="001959FF" w:rsidRDefault="00423233" w:rsidP="00423233">
      <w:pPr>
        <w:rPr>
          <w:rFonts w:ascii="Times New Roman" w:hAnsi="Times New Roman"/>
          <w:sz w:val="24"/>
          <w:szCs w:val="24"/>
        </w:rPr>
      </w:pPr>
    </w:p>
    <w:p w14:paraId="5EFD159A" w14:textId="77777777" w:rsidR="00423233" w:rsidRPr="001959FF" w:rsidRDefault="00423233" w:rsidP="00423233">
      <w:pPr>
        <w:rPr>
          <w:rFonts w:ascii="Times New Roman" w:hAnsi="Times New Roman"/>
          <w:bCs/>
          <w:color w:val="000000"/>
          <w:sz w:val="24"/>
          <w:szCs w:val="24"/>
        </w:rPr>
      </w:pPr>
      <w:r w:rsidRPr="001959FF">
        <w:rPr>
          <w:rFonts w:ascii="Times New Roman" w:hAnsi="Times New Roman"/>
          <w:bCs/>
          <w:color w:val="000000"/>
          <w:sz w:val="24"/>
          <w:szCs w:val="24"/>
        </w:rPr>
        <w:t>Este nuevo esquema propone un modelo de aporte de vivienda diferido, el cual está dirigido a las familias con ingresos mensuales inferiores a dos salarios mínimos, que no tienen capacidad de ahorro, ni formalidad laboral y, por lo tanto, no son sujetos de crédito. Con el PIVE, el 50% del valor de la vivienda es financiado por el Distrito, a través de un aporte que se da de manera diferida, mientras el hogar logra bancarizarse, para así obtener la financiación del valor restante de la vivienda. El 50% restante debe ser financiado por las familias</w:t>
      </w:r>
      <w:r>
        <w:rPr>
          <w:rFonts w:ascii="Times New Roman" w:hAnsi="Times New Roman"/>
          <w:bCs/>
          <w:color w:val="000000"/>
          <w:sz w:val="24"/>
          <w:szCs w:val="24"/>
        </w:rPr>
        <w:t>.</w:t>
      </w:r>
    </w:p>
    <w:p w14:paraId="2E32A09E" w14:textId="77777777" w:rsidR="00423233" w:rsidRPr="001959FF" w:rsidRDefault="00423233" w:rsidP="00423233">
      <w:pPr>
        <w:rPr>
          <w:rFonts w:ascii="Times New Roman" w:hAnsi="Times New Roman"/>
          <w:bCs/>
          <w:color w:val="000000"/>
          <w:sz w:val="24"/>
          <w:szCs w:val="24"/>
        </w:rPr>
      </w:pPr>
    </w:p>
    <w:p w14:paraId="6748A7E9" w14:textId="77777777" w:rsidR="00423233" w:rsidRPr="001959FF" w:rsidRDefault="00423233" w:rsidP="00423233">
      <w:pPr>
        <w:rPr>
          <w:rFonts w:ascii="Times New Roman" w:hAnsi="Times New Roman"/>
          <w:bCs/>
          <w:color w:val="000000"/>
          <w:sz w:val="24"/>
          <w:szCs w:val="24"/>
        </w:rPr>
      </w:pPr>
      <w:r w:rsidRPr="001959FF">
        <w:rPr>
          <w:rFonts w:ascii="Times New Roman" w:hAnsi="Times New Roman"/>
          <w:bCs/>
          <w:color w:val="000000"/>
          <w:sz w:val="24"/>
          <w:szCs w:val="24"/>
        </w:rPr>
        <w:t>El esquema de aporte diferido que se está estructurando en el marco del PIVE, busca materializar cuatro  elementos fundamentales:</w:t>
      </w:r>
    </w:p>
    <w:p w14:paraId="695E7FAA" w14:textId="77777777" w:rsidR="00423233" w:rsidRPr="001959FF" w:rsidRDefault="00423233" w:rsidP="00423233">
      <w:pPr>
        <w:rPr>
          <w:rFonts w:ascii="Times New Roman" w:hAnsi="Times New Roman"/>
          <w:bCs/>
          <w:color w:val="000000"/>
          <w:sz w:val="24"/>
          <w:szCs w:val="24"/>
        </w:rPr>
      </w:pPr>
      <w:r w:rsidRPr="001959FF">
        <w:rPr>
          <w:rFonts w:ascii="Times New Roman" w:hAnsi="Times New Roman"/>
          <w:bCs/>
          <w:color w:val="000000"/>
          <w:sz w:val="24"/>
          <w:szCs w:val="24"/>
        </w:rPr>
        <w:t xml:space="preserve"> </w:t>
      </w:r>
    </w:p>
    <w:p w14:paraId="69549DC8" w14:textId="77777777" w:rsidR="00423233" w:rsidRPr="001959FF" w:rsidRDefault="00423233" w:rsidP="00423233">
      <w:pPr>
        <w:numPr>
          <w:ilvl w:val="0"/>
          <w:numId w:val="4"/>
        </w:numPr>
        <w:rPr>
          <w:rFonts w:ascii="Times New Roman" w:hAnsi="Times New Roman"/>
          <w:bCs/>
          <w:color w:val="000000"/>
          <w:sz w:val="24"/>
          <w:szCs w:val="24"/>
        </w:rPr>
      </w:pPr>
      <w:r w:rsidRPr="001959FF">
        <w:rPr>
          <w:rFonts w:ascii="Times New Roman" w:hAnsi="Times New Roman"/>
          <w:bCs/>
          <w:color w:val="000000"/>
          <w:sz w:val="24"/>
          <w:szCs w:val="24"/>
        </w:rPr>
        <w:t>Generar contratos de LH (Leasing Habitacional) entre el FNA (Fondo Nacional del Ahorro) y/o bancos facultados para tal fin y la SDHT</w:t>
      </w:r>
      <w:r>
        <w:rPr>
          <w:rFonts w:ascii="Times New Roman" w:hAnsi="Times New Roman"/>
          <w:bCs/>
          <w:color w:val="000000"/>
          <w:sz w:val="24"/>
          <w:szCs w:val="24"/>
        </w:rPr>
        <w:t>.</w:t>
      </w:r>
    </w:p>
    <w:p w14:paraId="6E35F99D" w14:textId="77777777" w:rsidR="00423233" w:rsidRPr="001959FF" w:rsidRDefault="00423233" w:rsidP="00423233">
      <w:pPr>
        <w:numPr>
          <w:ilvl w:val="0"/>
          <w:numId w:val="4"/>
        </w:numPr>
        <w:rPr>
          <w:rFonts w:ascii="Times New Roman" w:hAnsi="Times New Roman"/>
          <w:bCs/>
          <w:color w:val="000000"/>
          <w:sz w:val="24"/>
          <w:szCs w:val="24"/>
        </w:rPr>
      </w:pPr>
      <w:r w:rsidRPr="001959FF">
        <w:rPr>
          <w:rFonts w:ascii="Times New Roman" w:hAnsi="Times New Roman"/>
          <w:bCs/>
          <w:color w:val="000000"/>
          <w:sz w:val="24"/>
          <w:szCs w:val="24"/>
        </w:rPr>
        <w:t>Trasladar la administración de los inmuebles objeto del contrato de LH a una firma  privada facultada por la ley para adelantar contratos de arrendamiento</w:t>
      </w:r>
      <w:r>
        <w:rPr>
          <w:rFonts w:ascii="Times New Roman" w:hAnsi="Times New Roman"/>
          <w:bCs/>
          <w:color w:val="000000"/>
          <w:sz w:val="24"/>
          <w:szCs w:val="24"/>
        </w:rPr>
        <w:t>.</w:t>
      </w:r>
    </w:p>
    <w:p w14:paraId="27B5F4D2" w14:textId="77777777" w:rsidR="00423233" w:rsidRPr="001959FF" w:rsidRDefault="00423233" w:rsidP="00423233">
      <w:pPr>
        <w:numPr>
          <w:ilvl w:val="0"/>
          <w:numId w:val="4"/>
        </w:numPr>
        <w:rPr>
          <w:rFonts w:ascii="Times New Roman" w:hAnsi="Times New Roman"/>
          <w:bCs/>
          <w:color w:val="000000"/>
          <w:sz w:val="24"/>
          <w:szCs w:val="24"/>
        </w:rPr>
      </w:pPr>
      <w:r w:rsidRPr="001959FF">
        <w:rPr>
          <w:rFonts w:ascii="Times New Roman" w:hAnsi="Times New Roman"/>
          <w:bCs/>
          <w:color w:val="000000"/>
          <w:sz w:val="24"/>
          <w:szCs w:val="24"/>
        </w:rPr>
        <w:t>Incentivar la bancarización de las familias mediante el ahorro regular, durante un periodo entre dos y cinco años, en un monto mensual comparable a un canon de arrendamiento mensual tipo para segmentos de ingresos de la población con menos de 2 SMMLV.</w:t>
      </w:r>
    </w:p>
    <w:p w14:paraId="0A7DEEA4" w14:textId="77777777" w:rsidR="00423233" w:rsidRPr="001959FF" w:rsidRDefault="00423233" w:rsidP="00423233">
      <w:pPr>
        <w:numPr>
          <w:ilvl w:val="0"/>
          <w:numId w:val="4"/>
        </w:numPr>
        <w:rPr>
          <w:rFonts w:ascii="Times New Roman" w:hAnsi="Times New Roman"/>
          <w:bCs/>
          <w:color w:val="000000"/>
          <w:sz w:val="24"/>
          <w:szCs w:val="24"/>
        </w:rPr>
      </w:pPr>
      <w:r w:rsidRPr="001959FF">
        <w:rPr>
          <w:rFonts w:ascii="Times New Roman" w:hAnsi="Times New Roman"/>
          <w:bCs/>
          <w:color w:val="000000"/>
          <w:sz w:val="24"/>
          <w:szCs w:val="24"/>
        </w:rPr>
        <w:t>Articular un esquema de acompañamiento integral a los hogares beneficiarios.</w:t>
      </w:r>
    </w:p>
    <w:p w14:paraId="15A689AB" w14:textId="77777777" w:rsidR="00423233" w:rsidRDefault="00423233" w:rsidP="009E1F1E">
      <w:pPr>
        <w:rPr>
          <w:rFonts w:ascii="Times New Roman" w:hAnsi="Times New Roman"/>
          <w:sz w:val="24"/>
          <w:szCs w:val="24"/>
          <w:lang w:val="es-ES" w:eastAsia="x-none"/>
        </w:rPr>
      </w:pPr>
    </w:p>
    <w:p w14:paraId="6217E250" w14:textId="77777777" w:rsidR="00EF7DED" w:rsidRDefault="00EF7DED" w:rsidP="009E1F1E">
      <w:pPr>
        <w:rPr>
          <w:rFonts w:ascii="Times New Roman" w:hAnsi="Times New Roman"/>
          <w:sz w:val="24"/>
          <w:szCs w:val="24"/>
          <w:lang w:val="es-ES" w:eastAsia="x-none"/>
        </w:rPr>
      </w:pPr>
    </w:p>
    <w:p w14:paraId="03ADD057" w14:textId="535ECA29" w:rsidR="002E26B2" w:rsidRPr="002E26B2" w:rsidRDefault="00A55F1A" w:rsidP="002E26B2">
      <w:pPr>
        <w:rPr>
          <w:rFonts w:ascii="Times New Roman" w:eastAsiaTheme="majorEastAsia" w:hAnsi="Times New Roman"/>
          <w:b/>
          <w:sz w:val="24"/>
          <w:szCs w:val="24"/>
          <w:u w:val="single"/>
        </w:rPr>
      </w:pPr>
      <w:r>
        <w:rPr>
          <w:rFonts w:ascii="Times New Roman" w:eastAsiaTheme="majorEastAsia" w:hAnsi="Times New Roman"/>
          <w:b/>
          <w:sz w:val="24"/>
          <w:szCs w:val="24"/>
          <w:u w:val="single"/>
        </w:rPr>
        <w:t>38</w:t>
      </w:r>
      <w:r w:rsidR="002E26B2">
        <w:rPr>
          <w:rFonts w:ascii="Times New Roman" w:eastAsiaTheme="majorEastAsia" w:hAnsi="Times New Roman"/>
          <w:b/>
          <w:sz w:val="24"/>
          <w:szCs w:val="24"/>
          <w:u w:val="single"/>
        </w:rPr>
        <w:t xml:space="preserve"> - </w:t>
      </w:r>
      <w:r w:rsidR="002E26B2" w:rsidRPr="002E26B2">
        <w:rPr>
          <w:rFonts w:ascii="Times New Roman" w:eastAsiaTheme="majorEastAsia" w:hAnsi="Times New Roman"/>
          <w:b/>
          <w:sz w:val="24"/>
          <w:szCs w:val="24"/>
          <w:u w:val="single"/>
        </w:rPr>
        <w:t>Recuperación y manejo de la estructura ecológica principal</w:t>
      </w:r>
    </w:p>
    <w:p w14:paraId="3E1E522D" w14:textId="77777777" w:rsidR="002E26B2" w:rsidRPr="00B61035" w:rsidRDefault="002E26B2" w:rsidP="002E26B2">
      <w:pPr>
        <w:pStyle w:val="Textoindependiente"/>
        <w:rPr>
          <w:rFonts w:ascii="Arial" w:hAnsi="Arial" w:cs="Arial"/>
          <w:sz w:val="20"/>
          <w:szCs w:val="20"/>
          <w:lang w:val="es-CO"/>
        </w:rPr>
      </w:pPr>
    </w:p>
    <w:p w14:paraId="7E55D0A9" w14:textId="77777777" w:rsidR="00A55F1A" w:rsidRDefault="00A55F1A" w:rsidP="00A55F1A">
      <w:pPr>
        <w:pStyle w:val="Textoindependiente"/>
        <w:rPr>
          <w:rFonts w:ascii="Times New Roman" w:hAnsi="Times New Roman"/>
        </w:rPr>
      </w:pPr>
      <w:r>
        <w:rPr>
          <w:rFonts w:ascii="Times New Roman" w:hAnsi="Times New Roman"/>
        </w:rPr>
        <w:t xml:space="preserve">Por medio de  este programa se espera mejorar la oferta de los bienes y servicios </w:t>
      </w:r>
      <w:proofErr w:type="spellStart"/>
      <w:r>
        <w:rPr>
          <w:rFonts w:ascii="Times New Roman" w:hAnsi="Times New Roman"/>
        </w:rPr>
        <w:t>ecosistémicos</w:t>
      </w:r>
      <w:proofErr w:type="spellEnd"/>
      <w:r>
        <w:rPr>
          <w:rFonts w:ascii="Times New Roman" w:hAnsi="Times New Roman"/>
        </w:rPr>
        <w:t xml:space="preserve"> de la ciudad y la región para asegurar el uso y el  disfrute y la calidad de vida de los ciudadanos generando condiciones de adaptabilidad al cambio climático. En cumplimiento de lo anterior la EAB ha realizado las siguientes acciones:</w:t>
      </w:r>
    </w:p>
    <w:p w14:paraId="6FEDE4EE" w14:textId="77777777" w:rsidR="002E26B2" w:rsidRPr="002E26B2" w:rsidRDefault="002E26B2" w:rsidP="002E26B2">
      <w:pPr>
        <w:pStyle w:val="Textoindependiente"/>
        <w:rPr>
          <w:rFonts w:ascii="Times New Roman" w:hAnsi="Times New Roman"/>
          <w:lang w:val="es-CO"/>
        </w:rPr>
      </w:pPr>
    </w:p>
    <w:p w14:paraId="069961F6" w14:textId="2C56EBF8" w:rsidR="002E26B2" w:rsidRPr="002E26B2" w:rsidRDefault="002E26B2" w:rsidP="002E26B2">
      <w:pPr>
        <w:pStyle w:val="Textoindependiente"/>
        <w:rPr>
          <w:rFonts w:ascii="Times New Roman" w:hAnsi="Times New Roman"/>
          <w:lang w:val="es-CO"/>
        </w:rPr>
      </w:pPr>
      <w:r w:rsidRPr="002E26B2">
        <w:rPr>
          <w:rFonts w:ascii="Times New Roman" w:hAnsi="Times New Roman"/>
          <w:lang w:val="es-CO"/>
        </w:rPr>
        <w:t xml:space="preserve">Para el área de Bogotá zona rural se presentó un avance de 17,5 Hectáreas en predios de las comunidades en las cuencas de </w:t>
      </w:r>
      <w:proofErr w:type="spellStart"/>
      <w:r w:rsidRPr="002E26B2">
        <w:rPr>
          <w:rFonts w:ascii="Times New Roman" w:hAnsi="Times New Roman"/>
          <w:lang w:val="es-CO"/>
        </w:rPr>
        <w:t>Teusacá</w:t>
      </w:r>
      <w:proofErr w:type="spellEnd"/>
      <w:r w:rsidRPr="002E26B2">
        <w:rPr>
          <w:rFonts w:ascii="Times New Roman" w:hAnsi="Times New Roman"/>
          <w:lang w:val="es-CO"/>
        </w:rPr>
        <w:t xml:space="preserve"> en la vereda </w:t>
      </w:r>
      <w:proofErr w:type="spellStart"/>
      <w:r w:rsidRPr="002E26B2">
        <w:rPr>
          <w:rFonts w:ascii="Times New Roman" w:hAnsi="Times New Roman"/>
          <w:lang w:val="es-CO"/>
        </w:rPr>
        <w:t>Verjón</w:t>
      </w:r>
      <w:proofErr w:type="spellEnd"/>
      <w:r w:rsidRPr="002E26B2">
        <w:rPr>
          <w:rFonts w:ascii="Times New Roman" w:hAnsi="Times New Roman"/>
          <w:lang w:val="es-CO"/>
        </w:rPr>
        <w:t xml:space="preserve"> Alto; cuenca del Tunjuelo en Usme y en los sectores de Betania y </w:t>
      </w:r>
      <w:proofErr w:type="spellStart"/>
      <w:r w:rsidRPr="002E26B2">
        <w:rPr>
          <w:rFonts w:ascii="Times New Roman" w:hAnsi="Times New Roman"/>
          <w:lang w:val="es-CO"/>
        </w:rPr>
        <w:t>Nazareth</w:t>
      </w:r>
      <w:proofErr w:type="spellEnd"/>
      <w:r w:rsidRPr="002E26B2">
        <w:rPr>
          <w:rFonts w:ascii="Times New Roman" w:hAnsi="Times New Roman"/>
          <w:lang w:val="es-CO"/>
        </w:rPr>
        <w:t xml:space="preserve"> en Sumapaz.</w:t>
      </w:r>
    </w:p>
    <w:p w14:paraId="701A8D59" w14:textId="77777777" w:rsidR="00AC07DB" w:rsidRDefault="00AC07DB" w:rsidP="002E26B2">
      <w:pPr>
        <w:pStyle w:val="Textoindependiente"/>
        <w:rPr>
          <w:rFonts w:ascii="Times New Roman" w:hAnsi="Times New Roman"/>
          <w:lang w:val="es-CO"/>
        </w:rPr>
      </w:pPr>
    </w:p>
    <w:p w14:paraId="454FCBAC" w14:textId="1F17D386" w:rsidR="002E26B2" w:rsidRPr="002E26B2" w:rsidRDefault="002E26B2" w:rsidP="002E26B2">
      <w:pPr>
        <w:pStyle w:val="Textoindependiente"/>
        <w:rPr>
          <w:rFonts w:ascii="Times New Roman" w:hAnsi="Times New Roman"/>
          <w:lang w:val="es-CO"/>
        </w:rPr>
      </w:pPr>
      <w:r w:rsidRPr="002E26B2">
        <w:rPr>
          <w:rFonts w:ascii="Times New Roman" w:hAnsi="Times New Roman"/>
          <w:lang w:val="es-CO"/>
        </w:rPr>
        <w:t>En la región, municipios que abarca el proyecto, se presenta un avance en 59,1 Hectáreas de restauración.</w:t>
      </w:r>
    </w:p>
    <w:p w14:paraId="21454CE5" w14:textId="77777777" w:rsidR="002E26B2" w:rsidRPr="002E26B2" w:rsidRDefault="002E26B2" w:rsidP="002E26B2">
      <w:pPr>
        <w:pStyle w:val="Textoindependiente"/>
        <w:rPr>
          <w:rFonts w:ascii="Times New Roman" w:hAnsi="Times New Roman"/>
          <w:lang w:val="es-CO"/>
        </w:rPr>
      </w:pPr>
      <w:r w:rsidRPr="002E26B2">
        <w:rPr>
          <w:rFonts w:ascii="Times New Roman" w:hAnsi="Times New Roman"/>
          <w:lang w:val="es-CO"/>
        </w:rPr>
        <w:t xml:space="preserve">Actividades en la zona rural de Bogotá: Restauración de escenarios de plantaciones exóticas (eucalipto, pino </w:t>
      </w:r>
      <w:proofErr w:type="spellStart"/>
      <w:r w:rsidRPr="002E26B2">
        <w:rPr>
          <w:rFonts w:ascii="Times New Roman" w:hAnsi="Times New Roman"/>
          <w:lang w:val="es-CO"/>
        </w:rPr>
        <w:t>pátula</w:t>
      </w:r>
      <w:proofErr w:type="spellEnd"/>
      <w:r w:rsidRPr="002E26B2">
        <w:rPr>
          <w:rFonts w:ascii="Times New Roman" w:hAnsi="Times New Roman"/>
          <w:lang w:val="es-CO"/>
        </w:rPr>
        <w:t xml:space="preserve">, pino </w:t>
      </w:r>
      <w:proofErr w:type="spellStart"/>
      <w:r w:rsidRPr="002E26B2">
        <w:rPr>
          <w:rFonts w:ascii="Times New Roman" w:hAnsi="Times New Roman"/>
          <w:lang w:val="es-CO"/>
        </w:rPr>
        <w:t>cipres</w:t>
      </w:r>
      <w:proofErr w:type="spellEnd"/>
      <w:r w:rsidRPr="002E26B2">
        <w:rPr>
          <w:rFonts w:ascii="Times New Roman" w:hAnsi="Times New Roman"/>
          <w:lang w:val="es-CO"/>
        </w:rPr>
        <w:t>), escenarios de ronda hídrica (potreros) y páramo intervenido.</w:t>
      </w:r>
    </w:p>
    <w:p w14:paraId="48AF0298" w14:textId="77777777" w:rsidR="002E26B2" w:rsidRDefault="002E26B2" w:rsidP="002E26B2">
      <w:pPr>
        <w:pStyle w:val="Textoindependiente"/>
        <w:rPr>
          <w:rFonts w:ascii="Times New Roman" w:hAnsi="Times New Roman"/>
          <w:lang w:val="es-CO"/>
        </w:rPr>
      </w:pPr>
    </w:p>
    <w:p w14:paraId="3CA9D4AA" w14:textId="044D85B0" w:rsidR="002E26B2" w:rsidRPr="002E26B2" w:rsidRDefault="002E26B2" w:rsidP="002E26B2">
      <w:pPr>
        <w:pStyle w:val="Textoindependiente"/>
        <w:rPr>
          <w:rFonts w:ascii="Times New Roman" w:hAnsi="Times New Roman"/>
          <w:lang w:val="es-CO"/>
        </w:rPr>
      </w:pPr>
      <w:r w:rsidRPr="002E26B2">
        <w:rPr>
          <w:rFonts w:ascii="Times New Roman" w:hAnsi="Times New Roman"/>
          <w:lang w:val="es-CO"/>
        </w:rPr>
        <w:t>Se implementaron núcleos de vegetación con 16 especies y 1600 individuos por hectárea.</w:t>
      </w:r>
    </w:p>
    <w:p w14:paraId="5A5060A9" w14:textId="1DA7591F" w:rsidR="002E26B2" w:rsidRPr="00B61035" w:rsidRDefault="002E26B2" w:rsidP="002E26B2">
      <w:pPr>
        <w:pStyle w:val="Textoindependiente"/>
        <w:rPr>
          <w:rFonts w:ascii="Arial" w:hAnsi="Arial" w:cs="Arial"/>
          <w:sz w:val="20"/>
          <w:szCs w:val="20"/>
          <w:lang w:val="es-CO"/>
        </w:rPr>
      </w:pPr>
    </w:p>
    <w:p w14:paraId="58992A9B" w14:textId="77777777" w:rsidR="002E26B2" w:rsidRPr="00B61035" w:rsidRDefault="002E26B2" w:rsidP="002E26B2">
      <w:pPr>
        <w:pStyle w:val="Textoindependiente"/>
        <w:rPr>
          <w:rFonts w:ascii="Arial" w:hAnsi="Arial" w:cs="Arial"/>
          <w:sz w:val="20"/>
          <w:szCs w:val="20"/>
          <w:lang w:val="es-CO"/>
        </w:rPr>
      </w:pPr>
    </w:p>
    <w:p w14:paraId="767E6A2C" w14:textId="79E0C42E" w:rsidR="00A55F1A" w:rsidRDefault="00A55F1A" w:rsidP="00A55F1A">
      <w:pPr>
        <w:rPr>
          <w:rFonts w:ascii="Times New Roman" w:eastAsiaTheme="majorEastAsia" w:hAnsi="Times New Roman"/>
          <w:b/>
          <w:sz w:val="24"/>
          <w:szCs w:val="24"/>
          <w:u w:val="single"/>
        </w:rPr>
      </w:pPr>
      <w:r>
        <w:rPr>
          <w:rFonts w:ascii="Times New Roman" w:eastAsiaTheme="majorEastAsia" w:hAnsi="Times New Roman"/>
          <w:b/>
          <w:sz w:val="24"/>
          <w:szCs w:val="24"/>
          <w:u w:val="single"/>
        </w:rPr>
        <w:t xml:space="preserve">39 </w:t>
      </w:r>
      <w:r w:rsidRPr="00A55F1A">
        <w:rPr>
          <w:rFonts w:ascii="Times New Roman" w:eastAsiaTheme="majorEastAsia" w:hAnsi="Times New Roman"/>
          <w:b/>
          <w:sz w:val="24"/>
          <w:szCs w:val="24"/>
          <w:u w:val="single"/>
        </w:rPr>
        <w:t>- Ambiente sano para la equidad y disfrute del ciudadano</w:t>
      </w:r>
    </w:p>
    <w:p w14:paraId="6ABC0DAC" w14:textId="77777777" w:rsidR="00A55F1A" w:rsidRDefault="00A55F1A" w:rsidP="00A55F1A">
      <w:pPr>
        <w:rPr>
          <w:rFonts w:ascii="Times New Roman" w:eastAsiaTheme="majorEastAsia" w:hAnsi="Times New Roman"/>
          <w:b/>
          <w:sz w:val="24"/>
          <w:szCs w:val="24"/>
          <w:u w:val="single"/>
        </w:rPr>
      </w:pPr>
    </w:p>
    <w:p w14:paraId="4B656AB5" w14:textId="6E8437AF" w:rsidR="00A55F1A" w:rsidRDefault="00A55F1A" w:rsidP="00A55F1A">
      <w:pPr>
        <w:pStyle w:val="Textoindependiente"/>
        <w:rPr>
          <w:rFonts w:ascii="Times New Roman" w:hAnsi="Times New Roman"/>
        </w:rPr>
      </w:pPr>
      <w:r>
        <w:rPr>
          <w:rFonts w:ascii="Times New Roman" w:hAnsi="Times New Roman"/>
        </w:rPr>
        <w:t>Por medio de  este programa se espera mejorar la calidad ambiental de la ciudad a través del control a los recursos aire, agua, ruido, paisaje y suelo, buscando impactar positivamente en la calidad de la vida de los ciudadanos. En cumplimiento de lo anterior la EAB ha realizado las siguientes acciones:</w:t>
      </w:r>
    </w:p>
    <w:p w14:paraId="0CBB78D3" w14:textId="77777777" w:rsidR="00A55F1A" w:rsidRDefault="00A55F1A" w:rsidP="00A55F1A">
      <w:pPr>
        <w:pStyle w:val="Textoindependiente"/>
        <w:rPr>
          <w:rFonts w:ascii="Times New Roman" w:hAnsi="Times New Roman"/>
        </w:rPr>
      </w:pPr>
    </w:p>
    <w:p w14:paraId="0F16ECAE" w14:textId="77777777" w:rsidR="00A55F1A" w:rsidRPr="002E26B2" w:rsidRDefault="00A55F1A" w:rsidP="00A55F1A">
      <w:pPr>
        <w:pStyle w:val="Textoindependiente"/>
        <w:rPr>
          <w:rFonts w:ascii="Times New Roman" w:hAnsi="Times New Roman"/>
        </w:rPr>
      </w:pPr>
      <w:r w:rsidRPr="002E26B2">
        <w:rPr>
          <w:rFonts w:ascii="Times New Roman" w:hAnsi="Times New Roman"/>
        </w:rPr>
        <w:t>Se</w:t>
      </w:r>
      <w:r>
        <w:rPr>
          <w:rFonts w:ascii="Times New Roman" w:hAnsi="Times New Roman"/>
        </w:rPr>
        <w:t xml:space="preserve"> presentó </w:t>
      </w:r>
      <w:r w:rsidRPr="002E26B2">
        <w:rPr>
          <w:rFonts w:ascii="Times New Roman" w:hAnsi="Times New Roman"/>
        </w:rPr>
        <w:t>en cumplimiento del artículo 6 de la Resolución 3257 de 2007, el document</w:t>
      </w:r>
      <w:r>
        <w:rPr>
          <w:rFonts w:ascii="Times New Roman" w:hAnsi="Times New Roman"/>
        </w:rPr>
        <w:t xml:space="preserve">o de la actualización del PSMV, </w:t>
      </w:r>
      <w:r w:rsidRPr="002E26B2">
        <w:rPr>
          <w:rFonts w:ascii="Times New Roman" w:hAnsi="Times New Roman"/>
        </w:rPr>
        <w:t>se encuentra en construcción la estación de bombeo del Rio Fucha</w:t>
      </w:r>
    </w:p>
    <w:p w14:paraId="7D828142" w14:textId="77777777" w:rsidR="00A55F1A" w:rsidRPr="002E26B2" w:rsidRDefault="00A55F1A" w:rsidP="00A55F1A">
      <w:pPr>
        <w:pStyle w:val="Textoindependiente"/>
        <w:rPr>
          <w:rFonts w:ascii="Times New Roman" w:hAnsi="Times New Roman"/>
        </w:rPr>
      </w:pPr>
    </w:p>
    <w:p w14:paraId="12A5CE12" w14:textId="77777777" w:rsidR="00A55F1A" w:rsidRPr="002E26B2" w:rsidRDefault="00A55F1A" w:rsidP="00A55F1A">
      <w:pPr>
        <w:pStyle w:val="Textoindependiente"/>
        <w:rPr>
          <w:rFonts w:ascii="Times New Roman" w:hAnsi="Times New Roman"/>
        </w:rPr>
      </w:pPr>
      <w:r>
        <w:rPr>
          <w:rFonts w:ascii="Times New Roman" w:hAnsi="Times New Roman"/>
        </w:rPr>
        <w:t>Se</w:t>
      </w:r>
      <w:r w:rsidRPr="002E26B2">
        <w:rPr>
          <w:rFonts w:ascii="Times New Roman" w:hAnsi="Times New Roman"/>
        </w:rPr>
        <w:t xml:space="preserve"> efectuó la contratación de las siguientes actividades:</w:t>
      </w:r>
    </w:p>
    <w:p w14:paraId="7DDF3D36" w14:textId="77777777" w:rsidR="00A55F1A" w:rsidRPr="002E26B2" w:rsidRDefault="00A55F1A" w:rsidP="00A55F1A">
      <w:pPr>
        <w:pStyle w:val="Textoindependiente"/>
        <w:rPr>
          <w:rFonts w:ascii="Times New Roman" w:hAnsi="Times New Roman"/>
        </w:rPr>
      </w:pPr>
    </w:p>
    <w:p w14:paraId="783C350D" w14:textId="77777777" w:rsidR="00A55F1A" w:rsidRPr="002E26B2" w:rsidRDefault="00A55F1A" w:rsidP="00A55F1A">
      <w:pPr>
        <w:pStyle w:val="Textoindependiente"/>
        <w:rPr>
          <w:rFonts w:ascii="Times New Roman" w:hAnsi="Times New Roman"/>
        </w:rPr>
      </w:pPr>
      <w:r w:rsidRPr="002E26B2">
        <w:rPr>
          <w:rFonts w:ascii="Times New Roman" w:hAnsi="Times New Roman"/>
        </w:rPr>
        <w:t>- Diseño detallado de la Estación de Bombeo provisional Tunjuelo.</w:t>
      </w:r>
    </w:p>
    <w:p w14:paraId="38CC3E6A" w14:textId="77777777" w:rsidR="00A55F1A" w:rsidRPr="002E26B2" w:rsidRDefault="00A55F1A" w:rsidP="00A55F1A">
      <w:pPr>
        <w:pStyle w:val="Textoindependiente"/>
        <w:rPr>
          <w:rFonts w:ascii="Times New Roman" w:hAnsi="Times New Roman"/>
        </w:rPr>
      </w:pPr>
      <w:r w:rsidRPr="002E26B2">
        <w:rPr>
          <w:rFonts w:ascii="Times New Roman" w:hAnsi="Times New Roman"/>
        </w:rPr>
        <w:t>- Diseños detallados de 90 estructuras de separación de caudales de aguas residuales en redes troncales pluviales</w:t>
      </w:r>
    </w:p>
    <w:p w14:paraId="0E834ABE" w14:textId="77777777" w:rsidR="00A55F1A" w:rsidRPr="002E26B2" w:rsidRDefault="00A55F1A" w:rsidP="00A55F1A">
      <w:pPr>
        <w:pStyle w:val="Textoindependiente"/>
        <w:rPr>
          <w:rFonts w:ascii="Times New Roman" w:hAnsi="Times New Roman"/>
        </w:rPr>
      </w:pPr>
    </w:p>
    <w:p w14:paraId="5DD71385" w14:textId="77777777" w:rsidR="00A55F1A" w:rsidRPr="002E26B2" w:rsidRDefault="00A55F1A" w:rsidP="00A55F1A">
      <w:pPr>
        <w:pStyle w:val="Textoindependiente"/>
        <w:rPr>
          <w:rFonts w:ascii="Times New Roman" w:hAnsi="Times New Roman"/>
        </w:rPr>
      </w:pPr>
      <w:r w:rsidRPr="002E26B2">
        <w:rPr>
          <w:rFonts w:ascii="Times New Roman" w:hAnsi="Times New Roman"/>
        </w:rPr>
        <w:t>Dadas las obras señaladas se espera en el corto plazo eliminar 6 puntos de vertimiento en el Fucha, los cuales descargan el 60% del agua residual vertida a los cuerpos de agua urbanos de la ciudad, y 61% en el Tunjuelo.</w:t>
      </w:r>
    </w:p>
    <w:p w14:paraId="1F14AD82" w14:textId="77777777" w:rsidR="00A55F1A" w:rsidRPr="002E26B2" w:rsidRDefault="00A55F1A" w:rsidP="00A55F1A">
      <w:pPr>
        <w:pStyle w:val="Textoindependiente"/>
        <w:rPr>
          <w:rFonts w:ascii="Arial" w:eastAsia="Calibri" w:hAnsi="Arial" w:cs="Arial"/>
          <w:b/>
        </w:rPr>
      </w:pPr>
    </w:p>
    <w:p w14:paraId="6E341720" w14:textId="77777777" w:rsidR="002E26B2" w:rsidRPr="00EF7DED" w:rsidRDefault="002E26B2" w:rsidP="009E1F1E">
      <w:pPr>
        <w:rPr>
          <w:rFonts w:ascii="Times New Roman" w:eastAsiaTheme="majorEastAsia" w:hAnsi="Times New Roman"/>
          <w:b/>
          <w:sz w:val="24"/>
          <w:szCs w:val="24"/>
          <w:u w:val="single"/>
        </w:rPr>
      </w:pPr>
    </w:p>
    <w:sectPr w:rsidR="002E26B2" w:rsidRPr="00EF7DED" w:rsidSect="006F47B2">
      <w:headerReference w:type="default" r:id="rId8"/>
      <w:footerReference w:type="default" r:id="rId9"/>
      <w:headerReference w:type="first" r:id="rId10"/>
      <w:footerReference w:type="first" r:id="rId11"/>
      <w:pgSz w:w="12242" w:h="15842" w:code="126"/>
      <w:pgMar w:top="1701" w:right="1043" w:bottom="1701" w:left="1134" w:header="142"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071C8" w14:textId="77777777" w:rsidR="005B6DB0" w:rsidRDefault="005B6DB0">
      <w:r>
        <w:separator/>
      </w:r>
    </w:p>
  </w:endnote>
  <w:endnote w:type="continuationSeparator" w:id="0">
    <w:p w14:paraId="4FE96AC6" w14:textId="77777777" w:rsidR="005B6DB0" w:rsidRDefault="005B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200" w:type="dxa"/>
      <w:tblLook w:val="04A0" w:firstRow="1" w:lastRow="0" w:firstColumn="1" w:lastColumn="0" w:noHBand="0" w:noVBand="1"/>
    </w:tblPr>
    <w:tblGrid>
      <w:gridCol w:w="9270"/>
      <w:gridCol w:w="222"/>
      <w:gridCol w:w="222"/>
      <w:gridCol w:w="236"/>
    </w:tblGrid>
    <w:tr w:rsidR="00711EBC" w:rsidRPr="00C3357A" w14:paraId="50BD7FBE" w14:textId="77777777" w:rsidTr="009456C8">
      <w:trPr>
        <w:trHeight w:val="1127"/>
      </w:trPr>
      <w:tc>
        <w:tcPr>
          <w:tcW w:w="9270" w:type="dxa"/>
          <w:vAlign w:val="center"/>
        </w:tcPr>
        <w:p w14:paraId="4F8DAF14" w14:textId="77777777" w:rsidR="00711EBC" w:rsidRPr="00C3357A" w:rsidRDefault="009300DA" w:rsidP="00AB730D">
          <w:pPr>
            <w:pStyle w:val="Piedepgina"/>
            <w:tabs>
              <w:tab w:val="clear" w:pos="4252"/>
              <w:tab w:val="clear" w:pos="8504"/>
              <w:tab w:val="left" w:pos="2775"/>
            </w:tabs>
            <w:rPr>
              <w:rFonts w:cs="Arial"/>
              <w:sz w:val="18"/>
              <w:szCs w:val="18"/>
            </w:rPr>
          </w:pPr>
          <w:r w:rsidRPr="00A862F1">
            <w:rPr>
              <w:rFonts w:cs="Arial"/>
              <w:noProof/>
              <w:sz w:val="18"/>
              <w:szCs w:val="18"/>
              <w:lang w:val="es-ES"/>
            </w:rPr>
            <w:drawing>
              <wp:inline distT="0" distB="0" distL="0" distR="0" wp14:anchorId="2CA121C3" wp14:editId="3C9908B6">
                <wp:extent cx="4945380" cy="650875"/>
                <wp:effectExtent l="0" t="0" r="762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380" cy="650875"/>
                        </a:xfrm>
                        <a:prstGeom prst="rect">
                          <a:avLst/>
                        </a:prstGeom>
                        <a:noFill/>
                        <a:ln>
                          <a:noFill/>
                        </a:ln>
                      </pic:spPr>
                    </pic:pic>
                  </a:graphicData>
                </a:graphic>
              </wp:inline>
            </w:drawing>
          </w:r>
        </w:p>
      </w:tc>
      <w:tc>
        <w:tcPr>
          <w:tcW w:w="222" w:type="dxa"/>
          <w:vAlign w:val="center"/>
        </w:tcPr>
        <w:p w14:paraId="09828390" w14:textId="77777777" w:rsidR="00711EBC" w:rsidRPr="00C3357A" w:rsidRDefault="00C97714" w:rsidP="00AB730D">
          <w:pPr>
            <w:pStyle w:val="Piedepgina"/>
            <w:tabs>
              <w:tab w:val="clear" w:pos="4252"/>
              <w:tab w:val="clear" w:pos="8504"/>
              <w:tab w:val="left" w:pos="2775"/>
            </w:tabs>
            <w:rPr>
              <w:rFonts w:cs="Arial"/>
              <w:sz w:val="18"/>
              <w:szCs w:val="18"/>
            </w:rPr>
          </w:pPr>
        </w:p>
      </w:tc>
      <w:tc>
        <w:tcPr>
          <w:tcW w:w="222" w:type="dxa"/>
          <w:vAlign w:val="center"/>
        </w:tcPr>
        <w:p w14:paraId="6EFDD100" w14:textId="77777777" w:rsidR="00711EBC" w:rsidRPr="00C3357A" w:rsidRDefault="00C97714" w:rsidP="00AB730D">
          <w:pPr>
            <w:pStyle w:val="Piedepgina"/>
            <w:tabs>
              <w:tab w:val="clear" w:pos="4252"/>
              <w:tab w:val="clear" w:pos="8504"/>
              <w:tab w:val="left" w:pos="2775"/>
            </w:tabs>
            <w:jc w:val="right"/>
            <w:rPr>
              <w:rFonts w:cs="Arial"/>
              <w:sz w:val="18"/>
              <w:szCs w:val="18"/>
            </w:rPr>
          </w:pPr>
        </w:p>
      </w:tc>
      <w:tc>
        <w:tcPr>
          <w:tcW w:w="236" w:type="dxa"/>
        </w:tcPr>
        <w:p w14:paraId="1A47D4DA" w14:textId="77777777" w:rsidR="00711EBC" w:rsidRPr="00C3357A" w:rsidRDefault="00C97714" w:rsidP="00AB730D">
          <w:pPr>
            <w:pStyle w:val="Piedepgina"/>
            <w:tabs>
              <w:tab w:val="clear" w:pos="4252"/>
              <w:tab w:val="clear" w:pos="8504"/>
              <w:tab w:val="left" w:pos="2775"/>
            </w:tabs>
            <w:jc w:val="right"/>
            <w:rPr>
              <w:rFonts w:cs="Arial"/>
              <w:sz w:val="18"/>
              <w:szCs w:val="18"/>
            </w:rPr>
          </w:pPr>
        </w:p>
      </w:tc>
    </w:tr>
  </w:tbl>
  <w:p w14:paraId="10DA7FFB" w14:textId="77777777" w:rsidR="00711EBC" w:rsidRPr="000977F4" w:rsidRDefault="00C97714" w:rsidP="009660A7">
    <w:pPr>
      <w:tabs>
        <w:tab w:val="left" w:pos="7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016"/>
      <w:gridCol w:w="1024"/>
      <w:gridCol w:w="1025"/>
    </w:tblGrid>
    <w:tr w:rsidR="00711EBC" w:rsidRPr="00C3357A" w14:paraId="0EFF3C28" w14:textId="77777777" w:rsidTr="00DC4366">
      <w:trPr>
        <w:trHeight w:val="804"/>
        <w:jc w:val="center"/>
      </w:trPr>
      <w:tc>
        <w:tcPr>
          <w:tcW w:w="2460" w:type="dxa"/>
          <w:vAlign w:val="center"/>
        </w:tcPr>
        <w:p w14:paraId="290C05F1" w14:textId="77777777" w:rsidR="00711EBC" w:rsidRPr="00C3357A" w:rsidRDefault="009300DA" w:rsidP="00AB730D">
          <w:pPr>
            <w:pStyle w:val="Piedepgina"/>
            <w:tabs>
              <w:tab w:val="clear" w:pos="4252"/>
              <w:tab w:val="clear" w:pos="8504"/>
              <w:tab w:val="left" w:pos="2775"/>
            </w:tabs>
            <w:rPr>
              <w:rFonts w:cs="Arial"/>
              <w:sz w:val="18"/>
              <w:szCs w:val="18"/>
            </w:rPr>
          </w:pPr>
          <w:r w:rsidRPr="00A862F1">
            <w:rPr>
              <w:rFonts w:cs="Arial"/>
              <w:noProof/>
              <w:sz w:val="18"/>
              <w:szCs w:val="18"/>
              <w:lang w:val="es-ES"/>
            </w:rPr>
            <w:drawing>
              <wp:inline distT="0" distB="0" distL="0" distR="0" wp14:anchorId="7B1B5723" wp14:editId="62EAE082">
                <wp:extent cx="4945380" cy="650875"/>
                <wp:effectExtent l="0" t="0" r="762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5380" cy="650875"/>
                        </a:xfrm>
                        <a:prstGeom prst="rect">
                          <a:avLst/>
                        </a:prstGeom>
                        <a:noFill/>
                        <a:ln>
                          <a:noFill/>
                        </a:ln>
                      </pic:spPr>
                    </pic:pic>
                  </a:graphicData>
                </a:graphic>
              </wp:inline>
            </w:drawing>
          </w:r>
        </w:p>
      </w:tc>
      <w:tc>
        <w:tcPr>
          <w:tcW w:w="2671" w:type="dxa"/>
          <w:vAlign w:val="center"/>
        </w:tcPr>
        <w:p w14:paraId="4D4CA6F9" w14:textId="77777777" w:rsidR="00711EBC" w:rsidRPr="00C3357A" w:rsidRDefault="00C97714" w:rsidP="00AB730D">
          <w:pPr>
            <w:pStyle w:val="Piedepgina"/>
            <w:tabs>
              <w:tab w:val="clear" w:pos="4252"/>
              <w:tab w:val="clear" w:pos="8504"/>
              <w:tab w:val="left" w:pos="2775"/>
            </w:tabs>
            <w:rPr>
              <w:rFonts w:cs="Arial"/>
              <w:sz w:val="18"/>
              <w:szCs w:val="18"/>
            </w:rPr>
          </w:pPr>
        </w:p>
      </w:tc>
      <w:tc>
        <w:tcPr>
          <w:tcW w:w="2672" w:type="dxa"/>
          <w:vAlign w:val="center"/>
        </w:tcPr>
        <w:p w14:paraId="10AE6FAF" w14:textId="77777777" w:rsidR="00711EBC" w:rsidRPr="00C3357A" w:rsidRDefault="00C97714" w:rsidP="00AB730D">
          <w:pPr>
            <w:pStyle w:val="Piedepgina"/>
            <w:tabs>
              <w:tab w:val="clear" w:pos="4252"/>
              <w:tab w:val="clear" w:pos="8504"/>
              <w:tab w:val="left" w:pos="2775"/>
            </w:tabs>
            <w:jc w:val="right"/>
            <w:rPr>
              <w:rFonts w:cs="Arial"/>
              <w:sz w:val="18"/>
              <w:szCs w:val="18"/>
            </w:rPr>
          </w:pPr>
        </w:p>
      </w:tc>
    </w:tr>
  </w:tbl>
  <w:p w14:paraId="70B38B1E" w14:textId="77777777" w:rsidR="00711EBC" w:rsidRDefault="00C97714" w:rsidP="00AB73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25BBB" w14:textId="77777777" w:rsidR="005B6DB0" w:rsidRDefault="005B6DB0">
      <w:r>
        <w:separator/>
      </w:r>
    </w:p>
  </w:footnote>
  <w:footnote w:type="continuationSeparator" w:id="0">
    <w:p w14:paraId="191C0A5E" w14:textId="77777777" w:rsidR="005B6DB0" w:rsidRDefault="005B6DB0">
      <w:r>
        <w:continuationSeparator/>
      </w:r>
    </w:p>
  </w:footnote>
  <w:footnote w:id="1">
    <w:p w14:paraId="67B3D2BC" w14:textId="38EC0CC3" w:rsidR="00602978" w:rsidRPr="00AF0972" w:rsidRDefault="00602978" w:rsidP="00602978">
      <w:pPr>
        <w:pStyle w:val="Textonotapie"/>
        <w:rPr>
          <w:rFonts w:ascii="Times New Roman" w:hAnsi="Times New Roman"/>
          <w:sz w:val="18"/>
        </w:rPr>
      </w:pPr>
      <w:r w:rsidRPr="00AF0972">
        <w:rPr>
          <w:rStyle w:val="Refdenotaalpie"/>
          <w:rFonts w:ascii="Times New Roman" w:hAnsi="Times New Roman"/>
          <w:sz w:val="18"/>
        </w:rPr>
        <w:footnoteRef/>
      </w:r>
      <w:r w:rsidRPr="00AF0972">
        <w:rPr>
          <w:rFonts w:ascii="Times New Roman" w:hAnsi="Times New Roman"/>
          <w:sz w:val="18"/>
        </w:rPr>
        <w:t xml:space="preserve"> </w:t>
      </w:r>
      <w:r w:rsidRPr="00AF0972">
        <w:rPr>
          <w:rFonts w:ascii="Times New Roman" w:hAnsi="Times New Roman"/>
          <w:sz w:val="18"/>
          <w:lang w:val="es-ES"/>
        </w:rPr>
        <w:t>Estos resultados se encuentran a corte de diciembre de 2016, excepto alcantarillado pluvial que está a septiembre de 2016</w:t>
      </w:r>
      <w:r w:rsidR="00715213">
        <w:rPr>
          <w:rFonts w:ascii="Times New Roman" w:hAnsi="Times New Roman"/>
          <w:sz w:val="18"/>
          <w:lang w:val="es-ES"/>
        </w:rPr>
        <w:t>.</w:t>
      </w:r>
    </w:p>
  </w:footnote>
  <w:footnote w:id="2">
    <w:p w14:paraId="12507DF9" w14:textId="77777777" w:rsidR="00423233" w:rsidRPr="001959FF" w:rsidRDefault="00423233" w:rsidP="00423233">
      <w:pPr>
        <w:pStyle w:val="Textonotapie"/>
        <w:rPr>
          <w:rFonts w:ascii="Times New Roman" w:hAnsi="Times New Roman"/>
          <w:sz w:val="18"/>
          <w:lang w:val="es-CO"/>
        </w:rPr>
      </w:pPr>
      <w:r w:rsidRPr="001959FF">
        <w:rPr>
          <w:rStyle w:val="Refdenotaalpie"/>
          <w:rFonts w:ascii="Times New Roman" w:hAnsi="Times New Roman"/>
          <w:sz w:val="18"/>
        </w:rPr>
        <w:footnoteRef/>
      </w:r>
      <w:r w:rsidRPr="001959FF">
        <w:rPr>
          <w:rFonts w:ascii="Times New Roman" w:hAnsi="Times New Roman"/>
          <w:sz w:val="18"/>
        </w:rPr>
        <w:t xml:space="preserve"> Plan Distrital de Desarrollo: Bogotá Mejor Para Todos 2016-2020, </w:t>
      </w:r>
      <w:proofErr w:type="spellStart"/>
      <w:r w:rsidRPr="001959FF">
        <w:rPr>
          <w:rFonts w:ascii="Times New Roman" w:hAnsi="Times New Roman"/>
          <w:sz w:val="18"/>
        </w:rPr>
        <w:t>pg</w:t>
      </w:r>
      <w:proofErr w:type="spellEnd"/>
      <w:r w:rsidRPr="001959FF">
        <w:rPr>
          <w:rFonts w:ascii="Times New Roman" w:hAnsi="Times New Roman"/>
          <w:sz w:val="18"/>
        </w:rPr>
        <w:t xml:space="preserv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FB6BB" w14:textId="77777777" w:rsidR="00711EBC" w:rsidRDefault="009300DA" w:rsidP="00AB730D">
    <w:pPr>
      <w:pStyle w:val="Encabezado"/>
      <w:jc w:val="center"/>
    </w:pPr>
    <w:r w:rsidRPr="00A862F1">
      <w:rPr>
        <w:noProof/>
        <w:lang w:val="es-ES"/>
      </w:rPr>
      <w:drawing>
        <wp:inline distT="0" distB="0" distL="0" distR="0" wp14:anchorId="78F3F4FE" wp14:editId="420A9FCC">
          <wp:extent cx="1038860" cy="995045"/>
          <wp:effectExtent l="0" t="0" r="8890" b="0"/>
          <wp:docPr id="57" name="Imagen 57" descr="Logo SD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D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9950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17A2" w14:textId="77777777" w:rsidR="00711EBC" w:rsidRDefault="009300DA" w:rsidP="00AB730D">
    <w:pPr>
      <w:jc w:val="center"/>
    </w:pPr>
    <w:r w:rsidRPr="00A862F1">
      <w:rPr>
        <w:noProof/>
        <w:lang w:val="es-ES"/>
      </w:rPr>
      <w:drawing>
        <wp:inline distT="0" distB="0" distL="0" distR="0" wp14:anchorId="55F003E9" wp14:editId="73D2DAA8">
          <wp:extent cx="1038860" cy="995045"/>
          <wp:effectExtent l="0" t="0" r="8890" b="0"/>
          <wp:docPr id="59" name="Imagen 59" descr="Logo SD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SD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7797"/>
    <w:multiLevelType w:val="multilevel"/>
    <w:tmpl w:val="138E6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2C4B6F"/>
    <w:multiLevelType w:val="hybridMultilevel"/>
    <w:tmpl w:val="31C010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BB4F7D"/>
    <w:multiLevelType w:val="hybridMultilevel"/>
    <w:tmpl w:val="7690F4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965AE2"/>
    <w:multiLevelType w:val="hybridMultilevel"/>
    <w:tmpl w:val="913AD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F9A56C6"/>
    <w:multiLevelType w:val="hybridMultilevel"/>
    <w:tmpl w:val="4A702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FDD49C2"/>
    <w:multiLevelType w:val="hybridMultilevel"/>
    <w:tmpl w:val="22D21912"/>
    <w:lvl w:ilvl="0" w:tplc="E8C8E6F0">
      <w:numFmt w:val="bullet"/>
      <w:lvlText w:val="•"/>
      <w:lvlJc w:val="left"/>
      <w:pPr>
        <w:ind w:left="1065" w:hanging="705"/>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22E7C71"/>
    <w:multiLevelType w:val="hybridMultilevel"/>
    <w:tmpl w:val="415CF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3F6D0F"/>
    <w:multiLevelType w:val="hybridMultilevel"/>
    <w:tmpl w:val="5B6E13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4347870"/>
    <w:multiLevelType w:val="hybridMultilevel"/>
    <w:tmpl w:val="15FE0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BFC653C"/>
    <w:multiLevelType w:val="hybridMultilevel"/>
    <w:tmpl w:val="D8B88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165158"/>
    <w:multiLevelType w:val="hybridMultilevel"/>
    <w:tmpl w:val="D98C8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9"/>
  </w:num>
  <w:num w:numId="5">
    <w:abstractNumId w:val="1"/>
  </w:num>
  <w:num w:numId="6">
    <w:abstractNumId w:val="8"/>
  </w:num>
  <w:num w:numId="7">
    <w:abstractNumId w:val="10"/>
  </w:num>
  <w:num w:numId="8">
    <w:abstractNumId w:val="3"/>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DA"/>
    <w:rsid w:val="000147CC"/>
    <w:rsid w:val="00053AD2"/>
    <w:rsid w:val="0007514D"/>
    <w:rsid w:val="00075AA5"/>
    <w:rsid w:val="00077511"/>
    <w:rsid w:val="000B7EF9"/>
    <w:rsid w:val="000F1370"/>
    <w:rsid w:val="001330D3"/>
    <w:rsid w:val="00142046"/>
    <w:rsid w:val="00166EFB"/>
    <w:rsid w:val="001761E9"/>
    <w:rsid w:val="001959FF"/>
    <w:rsid w:val="001A20CA"/>
    <w:rsid w:val="001C035D"/>
    <w:rsid w:val="001F520E"/>
    <w:rsid w:val="00232087"/>
    <w:rsid w:val="00242091"/>
    <w:rsid w:val="002663FB"/>
    <w:rsid w:val="002A0CA9"/>
    <w:rsid w:val="002C56AB"/>
    <w:rsid w:val="002E26B2"/>
    <w:rsid w:val="00380F8A"/>
    <w:rsid w:val="00395453"/>
    <w:rsid w:val="003C727E"/>
    <w:rsid w:val="00404764"/>
    <w:rsid w:val="00423233"/>
    <w:rsid w:val="00452030"/>
    <w:rsid w:val="00452DF7"/>
    <w:rsid w:val="00475B47"/>
    <w:rsid w:val="00491A9D"/>
    <w:rsid w:val="00494236"/>
    <w:rsid w:val="004B173A"/>
    <w:rsid w:val="004D3D5E"/>
    <w:rsid w:val="004D751F"/>
    <w:rsid w:val="004E3B21"/>
    <w:rsid w:val="00516CA4"/>
    <w:rsid w:val="00520A1D"/>
    <w:rsid w:val="005757E5"/>
    <w:rsid w:val="0058698D"/>
    <w:rsid w:val="005B6DB0"/>
    <w:rsid w:val="00602978"/>
    <w:rsid w:val="0063190D"/>
    <w:rsid w:val="00645366"/>
    <w:rsid w:val="0068628F"/>
    <w:rsid w:val="006A1D71"/>
    <w:rsid w:val="006B4430"/>
    <w:rsid w:val="006F47B2"/>
    <w:rsid w:val="00715213"/>
    <w:rsid w:val="00767680"/>
    <w:rsid w:val="00791827"/>
    <w:rsid w:val="00792C6D"/>
    <w:rsid w:val="007A3169"/>
    <w:rsid w:val="007B342F"/>
    <w:rsid w:val="007D06BC"/>
    <w:rsid w:val="008445E7"/>
    <w:rsid w:val="00865B15"/>
    <w:rsid w:val="0087668E"/>
    <w:rsid w:val="008E1304"/>
    <w:rsid w:val="008E5B73"/>
    <w:rsid w:val="00911DA7"/>
    <w:rsid w:val="00913100"/>
    <w:rsid w:val="009300DA"/>
    <w:rsid w:val="00933BBA"/>
    <w:rsid w:val="00964577"/>
    <w:rsid w:val="009705AD"/>
    <w:rsid w:val="009B0099"/>
    <w:rsid w:val="009B0AAB"/>
    <w:rsid w:val="009B3E9B"/>
    <w:rsid w:val="009C2140"/>
    <w:rsid w:val="009E1F1E"/>
    <w:rsid w:val="00A0718D"/>
    <w:rsid w:val="00A159D7"/>
    <w:rsid w:val="00A47505"/>
    <w:rsid w:val="00A552A6"/>
    <w:rsid w:val="00A55F1A"/>
    <w:rsid w:val="00A72379"/>
    <w:rsid w:val="00AC07DB"/>
    <w:rsid w:val="00AF2BD8"/>
    <w:rsid w:val="00B25E3D"/>
    <w:rsid w:val="00B74AFD"/>
    <w:rsid w:val="00B9139A"/>
    <w:rsid w:val="00C61D46"/>
    <w:rsid w:val="00C76B0A"/>
    <w:rsid w:val="00C97714"/>
    <w:rsid w:val="00C97E11"/>
    <w:rsid w:val="00CA1E9A"/>
    <w:rsid w:val="00CE3DC9"/>
    <w:rsid w:val="00D17AB0"/>
    <w:rsid w:val="00D52C95"/>
    <w:rsid w:val="00DC4CF1"/>
    <w:rsid w:val="00DC56FA"/>
    <w:rsid w:val="00DD2EF7"/>
    <w:rsid w:val="00E02F89"/>
    <w:rsid w:val="00E30691"/>
    <w:rsid w:val="00E56244"/>
    <w:rsid w:val="00E80690"/>
    <w:rsid w:val="00EA5B36"/>
    <w:rsid w:val="00EF7DED"/>
    <w:rsid w:val="00F647F9"/>
    <w:rsid w:val="00F86C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6254D"/>
  <w15:docId w15:val="{CA5F1725-EAE9-4292-A18C-7300D5D0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DA"/>
    <w:pPr>
      <w:spacing w:after="0" w:line="240" w:lineRule="auto"/>
      <w:jc w:val="both"/>
    </w:pPr>
    <w:rPr>
      <w:rFonts w:ascii="Arial" w:eastAsia="Times New Roman" w:hAnsi="Arial" w:cs="Times New Roman"/>
      <w:szCs w:val="20"/>
      <w:lang w:val="es-ES_tradnl" w:eastAsia="es-ES"/>
    </w:rPr>
  </w:style>
  <w:style w:type="paragraph" w:styleId="Ttulo1">
    <w:name w:val="heading 1"/>
    <w:basedOn w:val="Normal"/>
    <w:next w:val="Normal"/>
    <w:link w:val="Ttulo1Car"/>
    <w:uiPriority w:val="9"/>
    <w:qFormat/>
    <w:rsid w:val="002C56AB"/>
    <w:pPr>
      <w:keepNext/>
      <w:keepLines/>
      <w:spacing w:before="240"/>
      <w:outlineLvl w:val="0"/>
    </w:pPr>
    <w:rPr>
      <w:rFonts w:eastAsiaTheme="majorEastAsia" w:cstheme="majorBidi"/>
      <w:b/>
      <w:color w:val="2E74B5" w:themeColor="accent1" w:themeShade="BF"/>
      <w:sz w:val="28"/>
      <w:szCs w:val="32"/>
    </w:rPr>
  </w:style>
  <w:style w:type="paragraph" w:styleId="Ttulo2">
    <w:name w:val="heading 2"/>
    <w:basedOn w:val="Normal"/>
    <w:next w:val="Normal"/>
    <w:link w:val="Ttulo2Car"/>
    <w:qFormat/>
    <w:rsid w:val="00242091"/>
    <w:pPr>
      <w:keepNext/>
      <w:outlineLvl w:val="1"/>
    </w:pPr>
    <w:rPr>
      <w:b/>
      <w:bCs/>
      <w:color w:val="2E74B5"/>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300DA"/>
    <w:pPr>
      <w:tabs>
        <w:tab w:val="center" w:pos="4252"/>
        <w:tab w:val="right" w:pos="8504"/>
      </w:tabs>
    </w:pPr>
  </w:style>
  <w:style w:type="character" w:customStyle="1" w:styleId="EncabezadoCar">
    <w:name w:val="Encabezado Car"/>
    <w:basedOn w:val="Fuentedeprrafopredeter"/>
    <w:link w:val="Encabezado"/>
    <w:uiPriority w:val="99"/>
    <w:rsid w:val="009300DA"/>
    <w:rPr>
      <w:rFonts w:ascii="Arial" w:eastAsia="Times New Roman" w:hAnsi="Arial" w:cs="Times New Roman"/>
      <w:szCs w:val="20"/>
      <w:lang w:val="es-ES_tradnl" w:eastAsia="es-ES"/>
    </w:rPr>
  </w:style>
  <w:style w:type="paragraph" w:styleId="Piedepgina">
    <w:name w:val="footer"/>
    <w:basedOn w:val="Normal"/>
    <w:link w:val="PiedepginaCar"/>
    <w:uiPriority w:val="99"/>
    <w:rsid w:val="009300DA"/>
    <w:pPr>
      <w:tabs>
        <w:tab w:val="center" w:pos="4252"/>
        <w:tab w:val="right" w:pos="8504"/>
      </w:tabs>
    </w:pPr>
  </w:style>
  <w:style w:type="character" w:customStyle="1" w:styleId="PiedepginaCar">
    <w:name w:val="Pie de página Car"/>
    <w:basedOn w:val="Fuentedeprrafopredeter"/>
    <w:link w:val="Piedepgina"/>
    <w:uiPriority w:val="99"/>
    <w:rsid w:val="009300DA"/>
    <w:rPr>
      <w:rFonts w:ascii="Arial" w:eastAsia="Times New Roman" w:hAnsi="Arial" w:cs="Times New Roman"/>
      <w:szCs w:val="20"/>
      <w:lang w:val="es-ES_tradnl" w:eastAsia="es-ES"/>
    </w:rPr>
  </w:style>
  <w:style w:type="paragraph" w:styleId="Prrafodelista">
    <w:name w:val="List Paragraph"/>
    <w:basedOn w:val="Normal"/>
    <w:uiPriority w:val="34"/>
    <w:qFormat/>
    <w:rsid w:val="009300DA"/>
    <w:pPr>
      <w:ind w:left="720"/>
      <w:contextualSpacing/>
    </w:pPr>
  </w:style>
  <w:style w:type="table" w:styleId="Tablaconcuadrcula">
    <w:name w:val="Table Grid"/>
    <w:basedOn w:val="Tablanormal"/>
    <w:uiPriority w:val="39"/>
    <w:rsid w:val="00E5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242091"/>
    <w:rPr>
      <w:rFonts w:ascii="Arial" w:eastAsia="Times New Roman" w:hAnsi="Arial" w:cs="Times New Roman"/>
      <w:b/>
      <w:bCs/>
      <w:color w:val="2E74B5"/>
      <w:sz w:val="24"/>
      <w:szCs w:val="20"/>
      <w:lang w:val="es-ES_tradnl" w:eastAsia="es-ES"/>
    </w:rPr>
  </w:style>
  <w:style w:type="paragraph" w:customStyle="1" w:styleId="a">
    <w:basedOn w:val="Normal"/>
    <w:next w:val="Normal"/>
    <w:uiPriority w:val="99"/>
    <w:unhideWhenUsed/>
    <w:qFormat/>
    <w:rsid w:val="00242091"/>
    <w:pPr>
      <w:spacing w:after="200"/>
    </w:pPr>
    <w:rPr>
      <w:b/>
      <w:bCs/>
      <w:color w:val="2E74B5"/>
      <w:szCs w:val="18"/>
      <w:lang w:val="x-none" w:eastAsia="x-none"/>
    </w:rPr>
  </w:style>
  <w:style w:type="character" w:customStyle="1" w:styleId="DescripcinCar">
    <w:name w:val="Descripción Car"/>
    <w:link w:val="Descripcin"/>
    <w:uiPriority w:val="99"/>
    <w:locked/>
    <w:rsid w:val="00242091"/>
    <w:rPr>
      <w:rFonts w:ascii="Arial" w:eastAsia="Times New Roman" w:hAnsi="Arial"/>
      <w:b/>
      <w:bCs/>
      <w:color w:val="2E74B5"/>
      <w:sz w:val="22"/>
      <w:szCs w:val="18"/>
      <w:lang w:val="x-none" w:eastAsia="x-none"/>
    </w:rPr>
  </w:style>
  <w:style w:type="paragraph" w:styleId="Descripcin">
    <w:name w:val="caption"/>
    <w:basedOn w:val="Normal"/>
    <w:next w:val="Normal"/>
    <w:link w:val="DescripcinCar"/>
    <w:uiPriority w:val="99"/>
    <w:unhideWhenUsed/>
    <w:qFormat/>
    <w:rsid w:val="00242091"/>
    <w:pPr>
      <w:spacing w:after="200"/>
    </w:pPr>
    <w:rPr>
      <w:rFonts w:cstheme="minorBidi"/>
      <w:b/>
      <w:bCs/>
      <w:color w:val="2E74B5"/>
      <w:szCs w:val="18"/>
      <w:lang w:val="x-none" w:eastAsia="x-none"/>
    </w:rPr>
  </w:style>
  <w:style w:type="paragraph" w:styleId="Textodeglobo">
    <w:name w:val="Balloon Text"/>
    <w:basedOn w:val="Normal"/>
    <w:link w:val="TextodegloboCar"/>
    <w:uiPriority w:val="99"/>
    <w:semiHidden/>
    <w:unhideWhenUsed/>
    <w:rsid w:val="005869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698D"/>
    <w:rPr>
      <w:rFonts w:ascii="Segoe UI" w:eastAsia="Times New Roman" w:hAnsi="Segoe UI" w:cs="Segoe UI"/>
      <w:sz w:val="18"/>
      <w:szCs w:val="18"/>
      <w:lang w:val="es-ES_tradnl" w:eastAsia="es-ES"/>
    </w:rPr>
  </w:style>
  <w:style w:type="character" w:customStyle="1" w:styleId="Ttulo1Car">
    <w:name w:val="Título 1 Car"/>
    <w:basedOn w:val="Fuentedeprrafopredeter"/>
    <w:link w:val="Ttulo1"/>
    <w:uiPriority w:val="9"/>
    <w:rsid w:val="002C56AB"/>
    <w:rPr>
      <w:rFonts w:ascii="Arial" w:eastAsiaTheme="majorEastAsia" w:hAnsi="Arial" w:cstheme="majorBidi"/>
      <w:b/>
      <w:color w:val="2E74B5" w:themeColor="accent1" w:themeShade="BF"/>
      <w:sz w:val="28"/>
      <w:szCs w:val="32"/>
      <w:lang w:val="es-ES_tradnl" w:eastAsia="es-ES"/>
    </w:rPr>
  </w:style>
  <w:style w:type="character" w:customStyle="1" w:styleId="apple-converted-space">
    <w:name w:val="apple-converted-space"/>
    <w:basedOn w:val="Fuentedeprrafopredeter"/>
    <w:rsid w:val="009B3E9B"/>
  </w:style>
  <w:style w:type="paragraph" w:styleId="Textonotapie">
    <w:name w:val="footnote text"/>
    <w:basedOn w:val="Normal"/>
    <w:link w:val="TextonotapieCar"/>
    <w:uiPriority w:val="99"/>
    <w:semiHidden/>
    <w:unhideWhenUsed/>
    <w:rsid w:val="00EA5B36"/>
    <w:rPr>
      <w:sz w:val="20"/>
    </w:rPr>
  </w:style>
  <w:style w:type="character" w:customStyle="1" w:styleId="TextonotapieCar">
    <w:name w:val="Texto nota pie Car"/>
    <w:basedOn w:val="Fuentedeprrafopredeter"/>
    <w:link w:val="Textonotapie"/>
    <w:uiPriority w:val="99"/>
    <w:semiHidden/>
    <w:rsid w:val="00EA5B36"/>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semiHidden/>
    <w:unhideWhenUsed/>
    <w:rsid w:val="00EA5B36"/>
    <w:rPr>
      <w:vertAlign w:val="superscript"/>
    </w:rPr>
  </w:style>
  <w:style w:type="paragraph" w:styleId="Textoindependiente">
    <w:name w:val="Body Text"/>
    <w:aliases w:val=" Car4,Car,Car4"/>
    <w:basedOn w:val="Normal"/>
    <w:link w:val="TextoindependienteCar"/>
    <w:rsid w:val="009E1F1E"/>
    <w:rPr>
      <w:rFonts w:ascii="Century Gothic" w:hAnsi="Century Gothic"/>
      <w:sz w:val="24"/>
      <w:szCs w:val="24"/>
      <w:lang w:val="es-ES"/>
    </w:rPr>
  </w:style>
  <w:style w:type="character" w:customStyle="1" w:styleId="TextoindependienteCar">
    <w:name w:val="Texto independiente Car"/>
    <w:aliases w:val=" Car4 Car,Car Car,Car4 Car"/>
    <w:basedOn w:val="Fuentedeprrafopredeter"/>
    <w:link w:val="Textoindependiente"/>
    <w:rsid w:val="009E1F1E"/>
    <w:rPr>
      <w:rFonts w:ascii="Century Gothic" w:eastAsia="Times New Roman" w:hAnsi="Century Gothic" w:cs="Times New Roman"/>
      <w:sz w:val="24"/>
      <w:szCs w:val="24"/>
      <w:lang w:val="es-ES" w:eastAsia="es-ES"/>
    </w:rPr>
  </w:style>
  <w:style w:type="character" w:styleId="Refdecomentario">
    <w:name w:val="annotation reference"/>
    <w:basedOn w:val="Fuentedeprrafopredeter"/>
    <w:uiPriority w:val="99"/>
    <w:semiHidden/>
    <w:unhideWhenUsed/>
    <w:rsid w:val="00F647F9"/>
    <w:rPr>
      <w:sz w:val="16"/>
      <w:szCs w:val="16"/>
    </w:rPr>
  </w:style>
  <w:style w:type="paragraph" w:styleId="Textocomentario">
    <w:name w:val="annotation text"/>
    <w:basedOn w:val="Normal"/>
    <w:link w:val="TextocomentarioCar"/>
    <w:uiPriority w:val="99"/>
    <w:semiHidden/>
    <w:unhideWhenUsed/>
    <w:rsid w:val="00F647F9"/>
    <w:rPr>
      <w:sz w:val="20"/>
    </w:rPr>
  </w:style>
  <w:style w:type="character" w:customStyle="1" w:styleId="TextocomentarioCar">
    <w:name w:val="Texto comentario Car"/>
    <w:basedOn w:val="Fuentedeprrafopredeter"/>
    <w:link w:val="Textocomentario"/>
    <w:uiPriority w:val="99"/>
    <w:semiHidden/>
    <w:rsid w:val="00F647F9"/>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647F9"/>
    <w:rPr>
      <w:b/>
      <w:bCs/>
    </w:rPr>
  </w:style>
  <w:style w:type="character" w:customStyle="1" w:styleId="AsuntodelcomentarioCar">
    <w:name w:val="Asunto del comentario Car"/>
    <w:basedOn w:val="TextocomentarioCar"/>
    <w:link w:val="Asuntodelcomentario"/>
    <w:uiPriority w:val="99"/>
    <w:semiHidden/>
    <w:rsid w:val="00F647F9"/>
    <w:rPr>
      <w:rFonts w:ascii="Arial" w:eastAsia="Times New Roman" w:hAnsi="Arial"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3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DF1B-2AE6-4706-9717-D633EB96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5093</Words>
  <Characters>28014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ANDREA HERNANDEZ MORENO</dc:creator>
  <cp:keywords/>
  <dc:description/>
  <cp:lastModifiedBy>Diana Mabel Vargas Gonzalez</cp:lastModifiedBy>
  <cp:revision>21</cp:revision>
  <cp:lastPrinted>2017-01-19T13:51:00Z</cp:lastPrinted>
  <dcterms:created xsi:type="dcterms:W3CDTF">2017-02-27T20:02:00Z</dcterms:created>
  <dcterms:modified xsi:type="dcterms:W3CDTF">2017-03-10T19:55:00Z</dcterms:modified>
</cp:coreProperties>
</file>