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2DC2" w:rsidRDefault="00A82DC2" w:rsidP="00A82DC2">
      <w:pPr>
        <w:jc w:val="center"/>
        <w:rPr>
          <w:b/>
          <w:sz w:val="32"/>
          <w:szCs w:val="32"/>
        </w:rPr>
      </w:pPr>
    </w:p>
    <w:p w:rsidR="00A82DC2" w:rsidRDefault="00A82DC2" w:rsidP="00A82DC2">
      <w:pPr>
        <w:jc w:val="center"/>
        <w:rPr>
          <w:b/>
          <w:sz w:val="32"/>
          <w:szCs w:val="32"/>
        </w:rPr>
      </w:pPr>
    </w:p>
    <w:p w:rsidR="00A82DC2" w:rsidRDefault="00A82DC2" w:rsidP="00A82DC2">
      <w:pPr>
        <w:jc w:val="center"/>
        <w:rPr>
          <w:b/>
          <w:sz w:val="32"/>
          <w:szCs w:val="32"/>
        </w:rPr>
      </w:pPr>
    </w:p>
    <w:p w:rsidR="00A82DC2" w:rsidRDefault="00A82DC2" w:rsidP="00A82DC2">
      <w:pPr>
        <w:jc w:val="center"/>
        <w:rPr>
          <w:b/>
          <w:sz w:val="32"/>
          <w:szCs w:val="32"/>
        </w:rPr>
      </w:pPr>
    </w:p>
    <w:p w:rsidR="00A82DC2" w:rsidRDefault="00A82DC2" w:rsidP="00A82DC2">
      <w:pPr>
        <w:jc w:val="center"/>
        <w:rPr>
          <w:b/>
          <w:sz w:val="32"/>
          <w:szCs w:val="32"/>
        </w:rPr>
      </w:pPr>
    </w:p>
    <w:p w:rsidR="00A82DC2" w:rsidRDefault="00A82DC2" w:rsidP="00A82DC2">
      <w:pPr>
        <w:jc w:val="center"/>
        <w:rPr>
          <w:b/>
          <w:sz w:val="32"/>
          <w:szCs w:val="32"/>
        </w:rPr>
      </w:pPr>
    </w:p>
    <w:p w:rsidR="00A82DC2" w:rsidRDefault="00A82DC2" w:rsidP="00A82DC2">
      <w:pPr>
        <w:jc w:val="center"/>
        <w:rPr>
          <w:b/>
          <w:sz w:val="32"/>
          <w:szCs w:val="32"/>
        </w:rPr>
      </w:pPr>
    </w:p>
    <w:p w:rsidR="00A82DC2" w:rsidRDefault="00A82DC2" w:rsidP="00A82DC2">
      <w:pPr>
        <w:jc w:val="center"/>
        <w:rPr>
          <w:b/>
          <w:sz w:val="32"/>
          <w:szCs w:val="32"/>
        </w:rPr>
      </w:pPr>
    </w:p>
    <w:p w:rsidR="00A82DC2" w:rsidRPr="004D6709" w:rsidRDefault="00A82DC2" w:rsidP="00A82DC2">
      <w:pPr>
        <w:jc w:val="center"/>
        <w:rPr>
          <w:b/>
          <w:sz w:val="32"/>
          <w:szCs w:val="32"/>
        </w:rPr>
      </w:pPr>
      <w:r w:rsidRPr="004D6709">
        <w:rPr>
          <w:b/>
          <w:sz w:val="32"/>
          <w:szCs w:val="32"/>
        </w:rPr>
        <w:t>Informe</w:t>
      </w:r>
    </w:p>
    <w:p w:rsidR="00A82DC2" w:rsidRPr="004D6709" w:rsidRDefault="00A82DC2" w:rsidP="00A82DC2">
      <w:pPr>
        <w:jc w:val="center"/>
        <w:rPr>
          <w:b/>
          <w:sz w:val="32"/>
          <w:szCs w:val="32"/>
        </w:rPr>
      </w:pPr>
      <w:r w:rsidRPr="004D6709">
        <w:rPr>
          <w:b/>
          <w:sz w:val="32"/>
          <w:szCs w:val="32"/>
        </w:rPr>
        <w:t>Estrategia</w:t>
      </w:r>
      <w:r>
        <w:rPr>
          <w:b/>
          <w:sz w:val="32"/>
          <w:szCs w:val="32"/>
        </w:rPr>
        <w:t xml:space="preserve"> de Rendición de la Cuentas 2017</w:t>
      </w:r>
    </w:p>
    <w:p w:rsidR="00A82DC2" w:rsidRPr="004D6709" w:rsidRDefault="00A82DC2" w:rsidP="00A82DC2">
      <w:pPr>
        <w:jc w:val="center"/>
        <w:rPr>
          <w:b/>
          <w:sz w:val="32"/>
          <w:szCs w:val="32"/>
        </w:rPr>
      </w:pPr>
      <w:r w:rsidRPr="004D6709">
        <w:rPr>
          <w:b/>
          <w:sz w:val="32"/>
          <w:szCs w:val="32"/>
        </w:rPr>
        <w:t>Secretaría Distrital del Hábitat</w:t>
      </w:r>
    </w:p>
    <w:p w:rsidR="00A82DC2" w:rsidRPr="004D6709" w:rsidRDefault="00A82DC2" w:rsidP="00A82DC2">
      <w:pPr>
        <w:jc w:val="center"/>
        <w:rPr>
          <w:b/>
          <w:sz w:val="32"/>
          <w:szCs w:val="32"/>
        </w:rPr>
      </w:pPr>
    </w:p>
    <w:p w:rsidR="00A82DC2" w:rsidRPr="004D6709" w:rsidRDefault="00A82DC2" w:rsidP="00A82DC2">
      <w:pPr>
        <w:rPr>
          <w:b/>
          <w:sz w:val="32"/>
          <w:szCs w:val="32"/>
        </w:rPr>
      </w:pPr>
    </w:p>
    <w:p w:rsidR="00A82DC2" w:rsidRDefault="00A82DC2" w:rsidP="00A82DC2">
      <w:pPr>
        <w:pStyle w:val="Ttulo1"/>
        <w:jc w:val="left"/>
        <w:rPr>
          <w:rFonts w:ascii="Times New Roman" w:hAnsi="Times New Roman"/>
        </w:rPr>
      </w:pPr>
    </w:p>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sdt>
      <w:sdtPr>
        <w:rPr>
          <w:rFonts w:ascii="Times New Roman" w:eastAsia="Times New Roman" w:hAnsi="Times New Roman" w:cs="Times New Roman"/>
          <w:color w:val="auto"/>
          <w:sz w:val="20"/>
          <w:szCs w:val="20"/>
          <w:lang w:val="es-ES_tradnl"/>
        </w:rPr>
        <w:id w:val="824861922"/>
        <w:docPartObj>
          <w:docPartGallery w:val="Table of Contents"/>
          <w:docPartUnique/>
        </w:docPartObj>
      </w:sdtPr>
      <w:sdtEndPr>
        <w:rPr>
          <w:b/>
          <w:bCs/>
        </w:rPr>
      </w:sdtEndPr>
      <w:sdtContent>
        <w:p w:rsidR="00A82DC2" w:rsidRDefault="00A82DC2" w:rsidP="00A82DC2">
          <w:pPr>
            <w:pStyle w:val="TtuloTDC"/>
          </w:pPr>
          <w:r>
            <w:t>Contenido</w:t>
          </w:r>
        </w:p>
        <w:p w:rsidR="00A82DC2" w:rsidRPr="004D6709" w:rsidRDefault="00A82DC2" w:rsidP="00A82DC2">
          <w:pPr>
            <w:rPr>
              <w:lang w:val="es-ES"/>
            </w:rPr>
          </w:pPr>
        </w:p>
        <w:p w:rsidR="00622CF4" w:rsidRDefault="00A82DC2">
          <w:pPr>
            <w:pStyle w:val="TDC1"/>
            <w:tabs>
              <w:tab w:val="right" w:leader="dot" w:pos="8830"/>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504666504" w:history="1">
            <w:r w:rsidR="00622CF4" w:rsidRPr="0035533B">
              <w:rPr>
                <w:rStyle w:val="Hipervnculo"/>
                <w:noProof/>
              </w:rPr>
              <w:t>Presentación</w:t>
            </w:r>
            <w:r w:rsidR="00622CF4">
              <w:rPr>
                <w:noProof/>
                <w:webHidden/>
              </w:rPr>
              <w:tab/>
            </w:r>
            <w:r w:rsidR="00622CF4">
              <w:rPr>
                <w:noProof/>
                <w:webHidden/>
              </w:rPr>
              <w:fldChar w:fldCharType="begin"/>
            </w:r>
            <w:r w:rsidR="00622CF4">
              <w:rPr>
                <w:noProof/>
                <w:webHidden/>
              </w:rPr>
              <w:instrText xml:space="preserve"> PAGEREF _Toc504666504 \h </w:instrText>
            </w:r>
            <w:r w:rsidR="00622CF4">
              <w:rPr>
                <w:noProof/>
                <w:webHidden/>
              </w:rPr>
            </w:r>
            <w:r w:rsidR="00622CF4">
              <w:rPr>
                <w:noProof/>
                <w:webHidden/>
              </w:rPr>
              <w:fldChar w:fldCharType="separate"/>
            </w:r>
            <w:r w:rsidR="00622CF4">
              <w:rPr>
                <w:noProof/>
                <w:webHidden/>
              </w:rPr>
              <w:t>3</w:t>
            </w:r>
            <w:r w:rsidR="00622CF4">
              <w:rPr>
                <w:noProof/>
                <w:webHidden/>
              </w:rPr>
              <w:fldChar w:fldCharType="end"/>
            </w:r>
          </w:hyperlink>
        </w:p>
        <w:p w:rsidR="00622CF4" w:rsidRDefault="00600E8E">
          <w:pPr>
            <w:pStyle w:val="TDC1"/>
            <w:tabs>
              <w:tab w:val="right" w:leader="dot" w:pos="8830"/>
            </w:tabs>
            <w:rPr>
              <w:rFonts w:asciiTheme="minorHAnsi" w:eastAsiaTheme="minorEastAsia" w:hAnsiTheme="minorHAnsi" w:cstheme="minorBidi"/>
              <w:noProof/>
              <w:sz w:val="22"/>
              <w:szCs w:val="22"/>
              <w:lang w:val="es-CO" w:eastAsia="es-CO"/>
            </w:rPr>
          </w:pPr>
          <w:hyperlink w:anchor="_Toc504666505" w:history="1">
            <w:r w:rsidR="00622CF4" w:rsidRPr="0035533B">
              <w:rPr>
                <w:rStyle w:val="Hipervnculo"/>
                <w:noProof/>
                <w:lang w:val="es-CO"/>
              </w:rPr>
              <w:t>Estrategia</w:t>
            </w:r>
            <w:r w:rsidR="00622CF4">
              <w:rPr>
                <w:noProof/>
                <w:webHidden/>
              </w:rPr>
              <w:tab/>
            </w:r>
            <w:r w:rsidR="00622CF4">
              <w:rPr>
                <w:noProof/>
                <w:webHidden/>
              </w:rPr>
              <w:fldChar w:fldCharType="begin"/>
            </w:r>
            <w:r w:rsidR="00622CF4">
              <w:rPr>
                <w:noProof/>
                <w:webHidden/>
              </w:rPr>
              <w:instrText xml:space="preserve"> PAGEREF _Toc504666505 \h </w:instrText>
            </w:r>
            <w:r w:rsidR="00622CF4">
              <w:rPr>
                <w:noProof/>
                <w:webHidden/>
              </w:rPr>
            </w:r>
            <w:r w:rsidR="00622CF4">
              <w:rPr>
                <w:noProof/>
                <w:webHidden/>
              </w:rPr>
              <w:fldChar w:fldCharType="separate"/>
            </w:r>
            <w:r w:rsidR="00622CF4">
              <w:rPr>
                <w:noProof/>
                <w:webHidden/>
              </w:rPr>
              <w:t>3</w:t>
            </w:r>
            <w:r w:rsidR="00622CF4">
              <w:rPr>
                <w:noProof/>
                <w:webHidden/>
              </w:rPr>
              <w:fldChar w:fldCharType="end"/>
            </w:r>
          </w:hyperlink>
        </w:p>
        <w:p w:rsidR="00622CF4" w:rsidRDefault="00600E8E">
          <w:pPr>
            <w:pStyle w:val="TDC3"/>
            <w:tabs>
              <w:tab w:val="right" w:leader="dot" w:pos="8830"/>
            </w:tabs>
            <w:rPr>
              <w:rFonts w:asciiTheme="minorHAnsi" w:eastAsiaTheme="minorEastAsia" w:hAnsiTheme="minorHAnsi" w:cstheme="minorBidi"/>
              <w:noProof/>
              <w:sz w:val="22"/>
              <w:szCs w:val="22"/>
              <w:lang w:val="es-CO" w:eastAsia="es-CO"/>
            </w:rPr>
          </w:pPr>
          <w:hyperlink w:anchor="_Toc504666506" w:history="1">
            <w:r w:rsidR="00622CF4" w:rsidRPr="0035533B">
              <w:rPr>
                <w:rStyle w:val="Hipervnculo"/>
                <w:noProof/>
              </w:rPr>
              <w:t>Componente de Acceso a la Información:</w:t>
            </w:r>
            <w:r w:rsidR="00622CF4">
              <w:rPr>
                <w:noProof/>
                <w:webHidden/>
              </w:rPr>
              <w:tab/>
            </w:r>
            <w:r w:rsidR="00622CF4">
              <w:rPr>
                <w:noProof/>
                <w:webHidden/>
              </w:rPr>
              <w:fldChar w:fldCharType="begin"/>
            </w:r>
            <w:r w:rsidR="00622CF4">
              <w:rPr>
                <w:noProof/>
                <w:webHidden/>
              </w:rPr>
              <w:instrText xml:space="preserve"> PAGEREF _Toc504666506 \h </w:instrText>
            </w:r>
            <w:r w:rsidR="00622CF4">
              <w:rPr>
                <w:noProof/>
                <w:webHidden/>
              </w:rPr>
            </w:r>
            <w:r w:rsidR="00622CF4">
              <w:rPr>
                <w:noProof/>
                <w:webHidden/>
              </w:rPr>
              <w:fldChar w:fldCharType="separate"/>
            </w:r>
            <w:r w:rsidR="00622CF4">
              <w:rPr>
                <w:noProof/>
                <w:webHidden/>
              </w:rPr>
              <w:t>4</w:t>
            </w:r>
            <w:r w:rsidR="00622CF4">
              <w:rPr>
                <w:noProof/>
                <w:webHidden/>
              </w:rPr>
              <w:fldChar w:fldCharType="end"/>
            </w:r>
          </w:hyperlink>
        </w:p>
        <w:p w:rsidR="00622CF4" w:rsidRDefault="00600E8E">
          <w:pPr>
            <w:pStyle w:val="TDC3"/>
            <w:tabs>
              <w:tab w:val="right" w:leader="dot" w:pos="8830"/>
            </w:tabs>
            <w:rPr>
              <w:rFonts w:asciiTheme="minorHAnsi" w:eastAsiaTheme="minorEastAsia" w:hAnsiTheme="minorHAnsi" w:cstheme="minorBidi"/>
              <w:noProof/>
              <w:sz w:val="22"/>
              <w:szCs w:val="22"/>
              <w:lang w:val="es-CO" w:eastAsia="es-CO"/>
            </w:rPr>
          </w:pPr>
          <w:hyperlink w:anchor="_Toc504666507" w:history="1">
            <w:r w:rsidR="00622CF4" w:rsidRPr="0035533B">
              <w:rPr>
                <w:rStyle w:val="Hipervnculo"/>
                <w:noProof/>
              </w:rPr>
              <w:t>Componente Acciones de Diálogo</w:t>
            </w:r>
            <w:r w:rsidR="00622CF4">
              <w:rPr>
                <w:noProof/>
                <w:webHidden/>
              </w:rPr>
              <w:tab/>
            </w:r>
            <w:r w:rsidR="00622CF4">
              <w:rPr>
                <w:noProof/>
                <w:webHidden/>
              </w:rPr>
              <w:fldChar w:fldCharType="begin"/>
            </w:r>
            <w:r w:rsidR="00622CF4">
              <w:rPr>
                <w:noProof/>
                <w:webHidden/>
              </w:rPr>
              <w:instrText xml:space="preserve"> PAGEREF _Toc504666507 \h </w:instrText>
            </w:r>
            <w:r w:rsidR="00622CF4">
              <w:rPr>
                <w:noProof/>
                <w:webHidden/>
              </w:rPr>
            </w:r>
            <w:r w:rsidR="00622CF4">
              <w:rPr>
                <w:noProof/>
                <w:webHidden/>
              </w:rPr>
              <w:fldChar w:fldCharType="separate"/>
            </w:r>
            <w:r w:rsidR="00622CF4">
              <w:rPr>
                <w:noProof/>
                <w:webHidden/>
              </w:rPr>
              <w:t>4</w:t>
            </w:r>
            <w:r w:rsidR="00622CF4">
              <w:rPr>
                <w:noProof/>
                <w:webHidden/>
              </w:rPr>
              <w:fldChar w:fldCharType="end"/>
            </w:r>
          </w:hyperlink>
        </w:p>
        <w:p w:rsidR="00622CF4" w:rsidRDefault="00600E8E">
          <w:pPr>
            <w:pStyle w:val="TDC3"/>
            <w:tabs>
              <w:tab w:val="right" w:leader="dot" w:pos="8830"/>
            </w:tabs>
            <w:rPr>
              <w:rFonts w:asciiTheme="minorHAnsi" w:eastAsiaTheme="minorEastAsia" w:hAnsiTheme="minorHAnsi" w:cstheme="minorBidi"/>
              <w:noProof/>
              <w:sz w:val="22"/>
              <w:szCs w:val="22"/>
              <w:lang w:val="es-CO" w:eastAsia="es-CO"/>
            </w:rPr>
          </w:pPr>
          <w:hyperlink w:anchor="_Toc504666508" w:history="1">
            <w:r w:rsidR="00622CF4" w:rsidRPr="0035533B">
              <w:rPr>
                <w:rStyle w:val="Hipervnculo"/>
                <w:noProof/>
              </w:rPr>
              <w:t>Componente Incentivos para la Rendición de Cuentas</w:t>
            </w:r>
            <w:r w:rsidR="00622CF4">
              <w:rPr>
                <w:noProof/>
                <w:webHidden/>
              </w:rPr>
              <w:tab/>
            </w:r>
            <w:r w:rsidR="00622CF4">
              <w:rPr>
                <w:noProof/>
                <w:webHidden/>
              </w:rPr>
              <w:fldChar w:fldCharType="begin"/>
            </w:r>
            <w:r w:rsidR="00622CF4">
              <w:rPr>
                <w:noProof/>
                <w:webHidden/>
              </w:rPr>
              <w:instrText xml:space="preserve"> PAGEREF _Toc504666508 \h </w:instrText>
            </w:r>
            <w:r w:rsidR="00622CF4">
              <w:rPr>
                <w:noProof/>
                <w:webHidden/>
              </w:rPr>
            </w:r>
            <w:r w:rsidR="00622CF4">
              <w:rPr>
                <w:noProof/>
                <w:webHidden/>
              </w:rPr>
              <w:fldChar w:fldCharType="separate"/>
            </w:r>
            <w:r w:rsidR="00622CF4">
              <w:rPr>
                <w:noProof/>
                <w:webHidden/>
              </w:rPr>
              <w:t>5</w:t>
            </w:r>
            <w:r w:rsidR="00622CF4">
              <w:rPr>
                <w:noProof/>
                <w:webHidden/>
              </w:rPr>
              <w:fldChar w:fldCharType="end"/>
            </w:r>
          </w:hyperlink>
        </w:p>
        <w:p w:rsidR="00622CF4" w:rsidRDefault="00600E8E">
          <w:pPr>
            <w:pStyle w:val="TDC1"/>
            <w:tabs>
              <w:tab w:val="right" w:leader="dot" w:pos="8830"/>
            </w:tabs>
            <w:rPr>
              <w:rFonts w:asciiTheme="minorHAnsi" w:eastAsiaTheme="minorEastAsia" w:hAnsiTheme="minorHAnsi" w:cstheme="minorBidi"/>
              <w:noProof/>
              <w:sz w:val="22"/>
              <w:szCs w:val="22"/>
              <w:lang w:val="es-CO" w:eastAsia="es-CO"/>
            </w:rPr>
          </w:pPr>
          <w:hyperlink w:anchor="_Toc504666509" w:history="1">
            <w:r w:rsidR="00622CF4" w:rsidRPr="0035533B">
              <w:rPr>
                <w:rStyle w:val="Hipervnculo"/>
                <w:noProof/>
                <w:lang w:val="es-CO"/>
              </w:rPr>
              <w:t>Resultados acciones de Rendición de Cuentas 2017</w:t>
            </w:r>
            <w:r w:rsidR="00622CF4">
              <w:rPr>
                <w:noProof/>
                <w:webHidden/>
              </w:rPr>
              <w:tab/>
            </w:r>
            <w:r w:rsidR="00622CF4">
              <w:rPr>
                <w:noProof/>
                <w:webHidden/>
              </w:rPr>
              <w:fldChar w:fldCharType="begin"/>
            </w:r>
            <w:r w:rsidR="00622CF4">
              <w:rPr>
                <w:noProof/>
                <w:webHidden/>
              </w:rPr>
              <w:instrText xml:space="preserve"> PAGEREF _Toc504666509 \h </w:instrText>
            </w:r>
            <w:r w:rsidR="00622CF4">
              <w:rPr>
                <w:noProof/>
                <w:webHidden/>
              </w:rPr>
            </w:r>
            <w:r w:rsidR="00622CF4">
              <w:rPr>
                <w:noProof/>
                <w:webHidden/>
              </w:rPr>
              <w:fldChar w:fldCharType="separate"/>
            </w:r>
            <w:r w:rsidR="00622CF4">
              <w:rPr>
                <w:noProof/>
                <w:webHidden/>
              </w:rPr>
              <w:t>5</w:t>
            </w:r>
            <w:r w:rsidR="00622CF4">
              <w:rPr>
                <w:noProof/>
                <w:webHidden/>
              </w:rPr>
              <w:fldChar w:fldCharType="end"/>
            </w:r>
          </w:hyperlink>
        </w:p>
        <w:p w:rsidR="00622CF4" w:rsidRDefault="00600E8E">
          <w:pPr>
            <w:pStyle w:val="TDC3"/>
            <w:tabs>
              <w:tab w:val="right" w:leader="dot" w:pos="8830"/>
            </w:tabs>
            <w:rPr>
              <w:rFonts w:asciiTheme="minorHAnsi" w:eastAsiaTheme="minorEastAsia" w:hAnsiTheme="minorHAnsi" w:cstheme="minorBidi"/>
              <w:noProof/>
              <w:sz w:val="22"/>
              <w:szCs w:val="22"/>
              <w:lang w:val="es-CO" w:eastAsia="es-CO"/>
            </w:rPr>
          </w:pPr>
          <w:hyperlink w:anchor="_Toc504666510" w:history="1">
            <w:r w:rsidR="00622CF4" w:rsidRPr="0035533B">
              <w:rPr>
                <w:rStyle w:val="Hipervnculo"/>
                <w:noProof/>
                <w:lang w:val="es-CO"/>
              </w:rPr>
              <w:t>Acciones componente de acceso a la información</w:t>
            </w:r>
            <w:r w:rsidR="00622CF4">
              <w:rPr>
                <w:noProof/>
                <w:webHidden/>
              </w:rPr>
              <w:tab/>
            </w:r>
            <w:r w:rsidR="00622CF4">
              <w:rPr>
                <w:noProof/>
                <w:webHidden/>
              </w:rPr>
              <w:fldChar w:fldCharType="begin"/>
            </w:r>
            <w:r w:rsidR="00622CF4">
              <w:rPr>
                <w:noProof/>
                <w:webHidden/>
              </w:rPr>
              <w:instrText xml:space="preserve"> PAGEREF _Toc504666510 \h </w:instrText>
            </w:r>
            <w:r w:rsidR="00622CF4">
              <w:rPr>
                <w:noProof/>
                <w:webHidden/>
              </w:rPr>
            </w:r>
            <w:r w:rsidR="00622CF4">
              <w:rPr>
                <w:noProof/>
                <w:webHidden/>
              </w:rPr>
              <w:fldChar w:fldCharType="separate"/>
            </w:r>
            <w:r w:rsidR="00622CF4">
              <w:rPr>
                <w:noProof/>
                <w:webHidden/>
              </w:rPr>
              <w:t>5</w:t>
            </w:r>
            <w:r w:rsidR="00622CF4">
              <w:rPr>
                <w:noProof/>
                <w:webHidden/>
              </w:rPr>
              <w:fldChar w:fldCharType="end"/>
            </w:r>
          </w:hyperlink>
        </w:p>
        <w:p w:rsidR="00622CF4" w:rsidRDefault="00600E8E">
          <w:pPr>
            <w:pStyle w:val="TDC3"/>
            <w:tabs>
              <w:tab w:val="right" w:leader="dot" w:pos="8830"/>
            </w:tabs>
            <w:rPr>
              <w:rFonts w:asciiTheme="minorHAnsi" w:eastAsiaTheme="minorEastAsia" w:hAnsiTheme="minorHAnsi" w:cstheme="minorBidi"/>
              <w:noProof/>
              <w:sz w:val="22"/>
              <w:szCs w:val="22"/>
              <w:lang w:val="es-CO" w:eastAsia="es-CO"/>
            </w:rPr>
          </w:pPr>
          <w:hyperlink w:anchor="_Toc504666511" w:history="1">
            <w:r w:rsidR="00622CF4" w:rsidRPr="0035533B">
              <w:rPr>
                <w:rStyle w:val="Hipervnculo"/>
                <w:noProof/>
                <w:lang w:val="es-CO"/>
              </w:rPr>
              <w:t>Acciones componente de Diálogo</w:t>
            </w:r>
            <w:r w:rsidR="00622CF4">
              <w:rPr>
                <w:noProof/>
                <w:webHidden/>
              </w:rPr>
              <w:tab/>
            </w:r>
            <w:r w:rsidR="00622CF4">
              <w:rPr>
                <w:noProof/>
                <w:webHidden/>
              </w:rPr>
              <w:fldChar w:fldCharType="begin"/>
            </w:r>
            <w:r w:rsidR="00622CF4">
              <w:rPr>
                <w:noProof/>
                <w:webHidden/>
              </w:rPr>
              <w:instrText xml:space="preserve"> PAGEREF _Toc504666511 \h </w:instrText>
            </w:r>
            <w:r w:rsidR="00622CF4">
              <w:rPr>
                <w:noProof/>
                <w:webHidden/>
              </w:rPr>
            </w:r>
            <w:r w:rsidR="00622CF4">
              <w:rPr>
                <w:noProof/>
                <w:webHidden/>
              </w:rPr>
              <w:fldChar w:fldCharType="separate"/>
            </w:r>
            <w:r w:rsidR="00622CF4">
              <w:rPr>
                <w:noProof/>
                <w:webHidden/>
              </w:rPr>
              <w:t>10</w:t>
            </w:r>
            <w:r w:rsidR="00622CF4">
              <w:rPr>
                <w:noProof/>
                <w:webHidden/>
              </w:rPr>
              <w:fldChar w:fldCharType="end"/>
            </w:r>
          </w:hyperlink>
        </w:p>
        <w:p w:rsidR="00622CF4" w:rsidRDefault="00600E8E">
          <w:pPr>
            <w:pStyle w:val="TDC3"/>
            <w:tabs>
              <w:tab w:val="right" w:leader="dot" w:pos="8830"/>
            </w:tabs>
            <w:rPr>
              <w:rFonts w:asciiTheme="minorHAnsi" w:eastAsiaTheme="minorEastAsia" w:hAnsiTheme="minorHAnsi" w:cstheme="minorBidi"/>
              <w:noProof/>
              <w:sz w:val="22"/>
              <w:szCs w:val="22"/>
              <w:lang w:val="es-CO" w:eastAsia="es-CO"/>
            </w:rPr>
          </w:pPr>
          <w:hyperlink w:anchor="_Toc504666512" w:history="1">
            <w:r w:rsidR="00622CF4" w:rsidRPr="0035533B">
              <w:rPr>
                <w:rStyle w:val="Hipervnculo"/>
                <w:noProof/>
                <w:lang w:val="es-CO"/>
              </w:rPr>
              <w:t>Acciones componente de Incentivos</w:t>
            </w:r>
            <w:r w:rsidR="00622CF4">
              <w:rPr>
                <w:noProof/>
                <w:webHidden/>
              </w:rPr>
              <w:tab/>
            </w:r>
            <w:r w:rsidR="00622CF4">
              <w:rPr>
                <w:noProof/>
                <w:webHidden/>
              </w:rPr>
              <w:fldChar w:fldCharType="begin"/>
            </w:r>
            <w:r w:rsidR="00622CF4">
              <w:rPr>
                <w:noProof/>
                <w:webHidden/>
              </w:rPr>
              <w:instrText xml:space="preserve"> PAGEREF _Toc504666512 \h </w:instrText>
            </w:r>
            <w:r w:rsidR="00622CF4">
              <w:rPr>
                <w:noProof/>
                <w:webHidden/>
              </w:rPr>
            </w:r>
            <w:r w:rsidR="00622CF4">
              <w:rPr>
                <w:noProof/>
                <w:webHidden/>
              </w:rPr>
              <w:fldChar w:fldCharType="separate"/>
            </w:r>
            <w:r w:rsidR="00622CF4">
              <w:rPr>
                <w:noProof/>
                <w:webHidden/>
              </w:rPr>
              <w:t>13</w:t>
            </w:r>
            <w:r w:rsidR="00622CF4">
              <w:rPr>
                <w:noProof/>
                <w:webHidden/>
              </w:rPr>
              <w:fldChar w:fldCharType="end"/>
            </w:r>
          </w:hyperlink>
        </w:p>
        <w:p w:rsidR="00622CF4" w:rsidRDefault="00600E8E">
          <w:pPr>
            <w:pStyle w:val="TDC1"/>
            <w:tabs>
              <w:tab w:val="right" w:leader="dot" w:pos="8830"/>
            </w:tabs>
            <w:rPr>
              <w:rFonts w:asciiTheme="minorHAnsi" w:eastAsiaTheme="minorEastAsia" w:hAnsiTheme="minorHAnsi" w:cstheme="minorBidi"/>
              <w:noProof/>
              <w:sz w:val="22"/>
              <w:szCs w:val="22"/>
              <w:lang w:val="es-CO" w:eastAsia="es-CO"/>
            </w:rPr>
          </w:pPr>
          <w:hyperlink w:anchor="_Toc504666513" w:history="1">
            <w:r w:rsidR="00622CF4" w:rsidRPr="0035533B">
              <w:rPr>
                <w:rStyle w:val="Hipervnculo"/>
                <w:noProof/>
                <w:lang w:val="es-CO"/>
              </w:rPr>
              <w:t>Fortalezas</w:t>
            </w:r>
            <w:r w:rsidR="00622CF4">
              <w:rPr>
                <w:noProof/>
                <w:webHidden/>
              </w:rPr>
              <w:tab/>
            </w:r>
            <w:r w:rsidR="00622CF4">
              <w:rPr>
                <w:noProof/>
                <w:webHidden/>
              </w:rPr>
              <w:fldChar w:fldCharType="begin"/>
            </w:r>
            <w:r w:rsidR="00622CF4">
              <w:rPr>
                <w:noProof/>
                <w:webHidden/>
              </w:rPr>
              <w:instrText xml:space="preserve"> PAGEREF _Toc504666513 \h </w:instrText>
            </w:r>
            <w:r w:rsidR="00622CF4">
              <w:rPr>
                <w:noProof/>
                <w:webHidden/>
              </w:rPr>
            </w:r>
            <w:r w:rsidR="00622CF4">
              <w:rPr>
                <w:noProof/>
                <w:webHidden/>
              </w:rPr>
              <w:fldChar w:fldCharType="separate"/>
            </w:r>
            <w:r w:rsidR="00622CF4">
              <w:rPr>
                <w:noProof/>
                <w:webHidden/>
              </w:rPr>
              <w:t>14</w:t>
            </w:r>
            <w:r w:rsidR="00622CF4">
              <w:rPr>
                <w:noProof/>
                <w:webHidden/>
              </w:rPr>
              <w:fldChar w:fldCharType="end"/>
            </w:r>
          </w:hyperlink>
        </w:p>
        <w:p w:rsidR="00622CF4" w:rsidRDefault="00600E8E">
          <w:pPr>
            <w:pStyle w:val="TDC1"/>
            <w:tabs>
              <w:tab w:val="right" w:leader="dot" w:pos="8830"/>
            </w:tabs>
            <w:rPr>
              <w:rFonts w:asciiTheme="minorHAnsi" w:eastAsiaTheme="minorEastAsia" w:hAnsiTheme="minorHAnsi" w:cstheme="minorBidi"/>
              <w:noProof/>
              <w:sz w:val="22"/>
              <w:szCs w:val="22"/>
              <w:lang w:val="es-CO" w:eastAsia="es-CO"/>
            </w:rPr>
          </w:pPr>
          <w:hyperlink w:anchor="_Toc504666514" w:history="1">
            <w:r w:rsidR="00622CF4" w:rsidRPr="0035533B">
              <w:rPr>
                <w:rStyle w:val="Hipervnculo"/>
                <w:noProof/>
                <w:lang w:val="es-CO"/>
              </w:rPr>
              <w:t>Debilidades</w:t>
            </w:r>
            <w:r w:rsidR="00622CF4">
              <w:rPr>
                <w:noProof/>
                <w:webHidden/>
              </w:rPr>
              <w:tab/>
            </w:r>
            <w:r w:rsidR="00622CF4">
              <w:rPr>
                <w:noProof/>
                <w:webHidden/>
              </w:rPr>
              <w:fldChar w:fldCharType="begin"/>
            </w:r>
            <w:r w:rsidR="00622CF4">
              <w:rPr>
                <w:noProof/>
                <w:webHidden/>
              </w:rPr>
              <w:instrText xml:space="preserve"> PAGEREF _Toc504666514 \h </w:instrText>
            </w:r>
            <w:r w:rsidR="00622CF4">
              <w:rPr>
                <w:noProof/>
                <w:webHidden/>
              </w:rPr>
            </w:r>
            <w:r w:rsidR="00622CF4">
              <w:rPr>
                <w:noProof/>
                <w:webHidden/>
              </w:rPr>
              <w:fldChar w:fldCharType="separate"/>
            </w:r>
            <w:r w:rsidR="00622CF4">
              <w:rPr>
                <w:noProof/>
                <w:webHidden/>
              </w:rPr>
              <w:t>15</w:t>
            </w:r>
            <w:r w:rsidR="00622CF4">
              <w:rPr>
                <w:noProof/>
                <w:webHidden/>
              </w:rPr>
              <w:fldChar w:fldCharType="end"/>
            </w:r>
          </w:hyperlink>
        </w:p>
        <w:p w:rsidR="00A82DC2" w:rsidRDefault="00A82DC2" w:rsidP="00A82DC2">
          <w:r>
            <w:rPr>
              <w:b/>
              <w:bCs/>
            </w:rPr>
            <w:fldChar w:fldCharType="end"/>
          </w:r>
        </w:p>
      </w:sdtContent>
    </w:sdt>
    <w:p w:rsidR="00A82DC2" w:rsidRDefault="00A82DC2" w:rsidP="00A82DC2">
      <w:pPr>
        <w:pStyle w:val="Ttulo1"/>
        <w:jc w:val="left"/>
        <w:rPr>
          <w:rFonts w:ascii="Times New Roman" w:hAnsi="Times New Roman"/>
        </w:rPr>
      </w:pPr>
    </w:p>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Default="00A82DC2" w:rsidP="00A82DC2"/>
    <w:p w:rsidR="00A82DC2" w:rsidRPr="004D6709" w:rsidRDefault="00A82DC2" w:rsidP="00A82DC2"/>
    <w:p w:rsidR="00A82DC2" w:rsidRDefault="00A82DC2" w:rsidP="00A82DC2">
      <w:pPr>
        <w:pStyle w:val="Ttulo1"/>
        <w:jc w:val="left"/>
        <w:rPr>
          <w:rFonts w:ascii="Times New Roman" w:hAnsi="Times New Roman"/>
        </w:rPr>
      </w:pPr>
    </w:p>
    <w:p w:rsidR="00A82DC2" w:rsidRDefault="00A82DC2" w:rsidP="00A82DC2"/>
    <w:p w:rsidR="00A82DC2" w:rsidRDefault="00A82DC2" w:rsidP="00A82DC2"/>
    <w:p w:rsidR="00A82DC2" w:rsidRDefault="00A82DC2" w:rsidP="00A82DC2"/>
    <w:p w:rsidR="00A82DC2" w:rsidRDefault="00A82DC2" w:rsidP="00A82DC2"/>
    <w:p w:rsidR="00A82DC2" w:rsidRPr="004D6709" w:rsidRDefault="00A82DC2" w:rsidP="00A82DC2"/>
    <w:p w:rsidR="00A82DC2" w:rsidRPr="009C4BDE" w:rsidRDefault="00A82DC2" w:rsidP="00A82DC2">
      <w:pPr>
        <w:pStyle w:val="Ttulo1"/>
        <w:jc w:val="left"/>
        <w:rPr>
          <w:rFonts w:ascii="Times New Roman" w:hAnsi="Times New Roman"/>
        </w:rPr>
      </w:pPr>
      <w:bookmarkStart w:id="0" w:name="_Toc504666504"/>
      <w:r w:rsidRPr="009C4BDE">
        <w:rPr>
          <w:rFonts w:ascii="Times New Roman" w:hAnsi="Times New Roman"/>
        </w:rPr>
        <w:lastRenderedPageBreak/>
        <w:t>Presentación</w:t>
      </w:r>
      <w:bookmarkEnd w:id="0"/>
    </w:p>
    <w:p w:rsidR="00A82DC2" w:rsidRDefault="00A82DC2" w:rsidP="00A82DC2">
      <w:pPr>
        <w:jc w:val="both"/>
        <w:rPr>
          <w:sz w:val="22"/>
          <w:szCs w:val="22"/>
          <w:lang w:val="es-CO"/>
        </w:rPr>
      </w:pPr>
      <w:r w:rsidRPr="00B06B79">
        <w:rPr>
          <w:sz w:val="22"/>
          <w:szCs w:val="22"/>
          <w:lang w:val="es-CO"/>
        </w:rPr>
        <w:t>En este documento se presenta</w:t>
      </w:r>
      <w:r>
        <w:rPr>
          <w:sz w:val="22"/>
          <w:szCs w:val="22"/>
          <w:lang w:val="es-CO"/>
        </w:rPr>
        <w:t>n los resultados de la Est</w:t>
      </w:r>
      <w:r w:rsidR="00750F93">
        <w:rPr>
          <w:sz w:val="22"/>
          <w:szCs w:val="22"/>
          <w:lang w:val="es-CO"/>
        </w:rPr>
        <w:t>rategia de Rendición de Cuentas de la Secretaría Distrital del Hábitat para la vigencia 2017, esta información corresponde a la implementación de las acciones definidas en el cronograma de Rendición de Cuentas 2017 y de acuerdo con los lineamientos establecidos en la estrategia planteada por la entidad.</w:t>
      </w:r>
    </w:p>
    <w:p w:rsidR="00750F93" w:rsidRDefault="00750F93" w:rsidP="00A82DC2">
      <w:pPr>
        <w:jc w:val="both"/>
        <w:rPr>
          <w:sz w:val="22"/>
          <w:szCs w:val="22"/>
          <w:lang w:val="es-CO"/>
        </w:rPr>
      </w:pPr>
    </w:p>
    <w:p w:rsidR="00A82DC2" w:rsidRDefault="00750F93" w:rsidP="00A82DC2">
      <w:pPr>
        <w:jc w:val="both"/>
        <w:rPr>
          <w:sz w:val="22"/>
          <w:szCs w:val="22"/>
          <w:lang w:val="es-CO"/>
        </w:rPr>
      </w:pPr>
      <w:r>
        <w:rPr>
          <w:sz w:val="22"/>
          <w:szCs w:val="22"/>
          <w:lang w:val="es-CO"/>
        </w:rPr>
        <w:t xml:space="preserve">En la primera parte del documento, se describen las acciones que se plantearon para la vigencia 2017, segundo, se describen los resultados por cada elemento de la rendición de cuentas, acceso a la información, espacios de diálogo e incentivos, tercero se presentan los resultados de las evaluaciones de la Rendición de Cuentas y las recomendaciones para la definición de las acciones de 2018. </w:t>
      </w:r>
    </w:p>
    <w:p w:rsidR="00A82DC2" w:rsidRDefault="00A82DC2" w:rsidP="00A82DC2">
      <w:pPr>
        <w:jc w:val="both"/>
        <w:rPr>
          <w:sz w:val="22"/>
          <w:szCs w:val="22"/>
          <w:lang w:val="es-CO"/>
        </w:rPr>
      </w:pPr>
    </w:p>
    <w:p w:rsidR="00A82DC2" w:rsidRDefault="0047567D" w:rsidP="00A82DC2">
      <w:pPr>
        <w:pStyle w:val="Ttulo1"/>
        <w:jc w:val="left"/>
        <w:rPr>
          <w:rFonts w:ascii="Times New Roman" w:hAnsi="Times New Roman"/>
          <w:lang w:val="es-CO"/>
        </w:rPr>
      </w:pPr>
      <w:bookmarkStart w:id="1" w:name="_Toc504666505"/>
      <w:r>
        <w:rPr>
          <w:rFonts w:ascii="Times New Roman" w:hAnsi="Times New Roman"/>
          <w:lang w:val="es-CO"/>
        </w:rPr>
        <w:t>Estrategia</w:t>
      </w:r>
      <w:bookmarkEnd w:id="1"/>
    </w:p>
    <w:p w:rsidR="00A82DC2" w:rsidRPr="00997A33" w:rsidRDefault="00A82DC2" w:rsidP="00A82DC2">
      <w:pPr>
        <w:pStyle w:val="NormalWeb"/>
        <w:spacing w:before="0" w:beforeAutospacing="0" w:after="0" w:afterAutospacing="0"/>
        <w:jc w:val="both"/>
        <w:rPr>
          <w:rFonts w:ascii="Times New Roman" w:eastAsia="Times New Roman" w:hAnsi="Times New Roman" w:cs="Times New Roman"/>
          <w:sz w:val="22"/>
          <w:szCs w:val="22"/>
          <w:lang w:val="es-CO"/>
        </w:rPr>
      </w:pPr>
      <w:r>
        <w:rPr>
          <w:rFonts w:ascii="Times New Roman" w:eastAsia="Times New Roman" w:hAnsi="Times New Roman" w:cs="Times New Roman"/>
          <w:lang w:val="es-CO"/>
        </w:rPr>
        <w:t>L</w:t>
      </w:r>
      <w:r w:rsidR="0047567D">
        <w:rPr>
          <w:rFonts w:ascii="Times New Roman" w:eastAsia="Times New Roman" w:hAnsi="Times New Roman" w:cs="Times New Roman"/>
          <w:lang w:val="es-CO"/>
        </w:rPr>
        <w:t>a</w:t>
      </w:r>
      <w:r>
        <w:rPr>
          <w:rFonts w:ascii="Times New Roman" w:eastAsia="Times New Roman" w:hAnsi="Times New Roman" w:cs="Times New Roman"/>
          <w:lang w:val="es-CO"/>
        </w:rPr>
        <w:t xml:space="preserve"> S</w:t>
      </w:r>
      <w:r w:rsidR="00717248">
        <w:rPr>
          <w:rFonts w:ascii="Times New Roman" w:eastAsia="Times New Roman" w:hAnsi="Times New Roman" w:cs="Times New Roman"/>
          <w:lang w:val="es-CO"/>
        </w:rPr>
        <w:t xml:space="preserve">ecretaría </w:t>
      </w:r>
      <w:r>
        <w:rPr>
          <w:rFonts w:ascii="Times New Roman" w:eastAsia="Times New Roman" w:hAnsi="Times New Roman" w:cs="Times New Roman"/>
          <w:lang w:val="es-CO"/>
        </w:rPr>
        <w:t>D</w:t>
      </w:r>
      <w:r w:rsidR="00717248">
        <w:rPr>
          <w:rFonts w:ascii="Times New Roman" w:eastAsia="Times New Roman" w:hAnsi="Times New Roman" w:cs="Times New Roman"/>
          <w:lang w:val="es-CO"/>
        </w:rPr>
        <w:t>istrital del Hábitat,</w:t>
      </w:r>
      <w:r>
        <w:rPr>
          <w:rFonts w:ascii="Times New Roman" w:eastAsia="Times New Roman" w:hAnsi="Times New Roman" w:cs="Times New Roman"/>
          <w:lang w:val="es-CO"/>
        </w:rPr>
        <w:t xml:space="preserve"> adopta el concepto de </w:t>
      </w:r>
      <w:r w:rsidRPr="00BF29BE">
        <w:rPr>
          <w:rFonts w:ascii="Times New Roman" w:eastAsia="Times New Roman" w:hAnsi="Times New Roman" w:cs="Times New Roman"/>
          <w:lang w:val="es-CO"/>
        </w:rPr>
        <w:t xml:space="preserve"> Rendición de </w:t>
      </w:r>
      <w:r>
        <w:rPr>
          <w:rFonts w:ascii="Times New Roman" w:eastAsia="Times New Roman" w:hAnsi="Times New Roman" w:cs="Times New Roman"/>
          <w:lang w:val="es-CO"/>
        </w:rPr>
        <w:t>C</w:t>
      </w:r>
      <w:r w:rsidRPr="00BF29BE">
        <w:rPr>
          <w:rFonts w:ascii="Times New Roman" w:eastAsia="Times New Roman" w:hAnsi="Times New Roman" w:cs="Times New Roman"/>
          <w:lang w:val="es-CO"/>
        </w:rPr>
        <w:t>uentas como “</w:t>
      </w:r>
      <w:r w:rsidRPr="008550F5">
        <w:rPr>
          <w:rFonts w:ascii="Times New Roman" w:eastAsia="Times New Roman" w:hAnsi="Times New Roman" w:cs="Times New Roman"/>
          <w:i/>
          <w:lang w:val="es-CO"/>
        </w:rPr>
        <w:t>el proceso conformado por un conjunto de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w:t>
      </w:r>
      <w:r w:rsidRPr="00997A33">
        <w:rPr>
          <w:rFonts w:ascii="Times New Roman" w:eastAsia="Times New Roman" w:hAnsi="Times New Roman" w:cs="Times New Roman"/>
          <w:sz w:val="22"/>
          <w:szCs w:val="22"/>
          <w:lang w:val="es-CO"/>
        </w:rPr>
        <w:t>.”</w:t>
      </w:r>
      <w:r w:rsidRPr="008550F5">
        <w:rPr>
          <w:rFonts w:ascii="Times New Roman" w:eastAsia="Times New Roman" w:hAnsi="Times New Roman" w:cs="Times New Roman"/>
          <w:sz w:val="16"/>
          <w:szCs w:val="16"/>
          <w:vertAlign w:val="superscript"/>
          <w:lang w:val="es-CO"/>
        </w:rPr>
        <w:footnoteReference w:id="1"/>
      </w:r>
      <w:r w:rsidRPr="008550F5">
        <w:rPr>
          <w:rFonts w:ascii="Times New Roman" w:eastAsia="Times New Roman" w:hAnsi="Times New Roman" w:cs="Times New Roman"/>
          <w:sz w:val="22"/>
          <w:szCs w:val="22"/>
          <w:vertAlign w:val="superscript"/>
          <w:lang w:val="es-CO"/>
        </w:rPr>
        <w:t>.</w:t>
      </w:r>
    </w:p>
    <w:p w:rsidR="00A82DC2" w:rsidRDefault="00A82DC2" w:rsidP="00A82DC2">
      <w:pPr>
        <w:jc w:val="both"/>
        <w:rPr>
          <w:sz w:val="22"/>
          <w:szCs w:val="22"/>
          <w:lang w:val="es-CO"/>
        </w:rPr>
      </w:pPr>
    </w:p>
    <w:p w:rsidR="00A82DC2" w:rsidRPr="00BF29BE" w:rsidRDefault="00A82DC2" w:rsidP="00A82DC2">
      <w:pPr>
        <w:jc w:val="both"/>
        <w:rPr>
          <w:sz w:val="24"/>
          <w:szCs w:val="24"/>
          <w:lang w:val="es-CO"/>
        </w:rPr>
      </w:pPr>
      <w:r w:rsidRPr="00BF29BE">
        <w:rPr>
          <w:sz w:val="24"/>
          <w:szCs w:val="24"/>
          <w:lang w:val="es-CO"/>
        </w:rPr>
        <w:t>Bajo este concepto</w:t>
      </w:r>
      <w:r>
        <w:rPr>
          <w:sz w:val="24"/>
          <w:szCs w:val="24"/>
          <w:lang w:val="es-CO"/>
        </w:rPr>
        <w:t>,</w:t>
      </w:r>
      <w:r w:rsidRPr="00BF29BE">
        <w:rPr>
          <w:sz w:val="24"/>
          <w:szCs w:val="24"/>
          <w:lang w:val="es-CO"/>
        </w:rPr>
        <w:t xml:space="preserve"> </w:t>
      </w:r>
      <w:r>
        <w:rPr>
          <w:sz w:val="24"/>
          <w:szCs w:val="24"/>
          <w:lang w:val="es-CO"/>
        </w:rPr>
        <w:t>los</w:t>
      </w:r>
      <w:r w:rsidRPr="00BF29BE">
        <w:rPr>
          <w:sz w:val="24"/>
          <w:szCs w:val="24"/>
          <w:lang w:val="es-CO"/>
        </w:rPr>
        <w:t xml:space="preserve"> proceso</w:t>
      </w:r>
      <w:r>
        <w:rPr>
          <w:sz w:val="24"/>
          <w:szCs w:val="24"/>
          <w:lang w:val="es-CO"/>
        </w:rPr>
        <w:t>s</w:t>
      </w:r>
      <w:r w:rsidRPr="00BF29BE">
        <w:rPr>
          <w:sz w:val="24"/>
          <w:szCs w:val="24"/>
          <w:lang w:val="es-CO"/>
        </w:rPr>
        <w:t xml:space="preserve"> de rendición de cuentas </w:t>
      </w:r>
      <w:r>
        <w:rPr>
          <w:sz w:val="24"/>
          <w:szCs w:val="24"/>
          <w:lang w:val="es-CO"/>
        </w:rPr>
        <w:t xml:space="preserve">deben </w:t>
      </w:r>
      <w:r w:rsidRPr="00BF29BE">
        <w:rPr>
          <w:sz w:val="24"/>
          <w:szCs w:val="24"/>
          <w:lang w:val="es-CO"/>
        </w:rPr>
        <w:t>establece</w:t>
      </w:r>
      <w:r>
        <w:rPr>
          <w:sz w:val="24"/>
          <w:szCs w:val="24"/>
          <w:lang w:val="es-CO"/>
        </w:rPr>
        <w:t>rse a partir de</w:t>
      </w:r>
      <w:r w:rsidRPr="00BF29BE">
        <w:rPr>
          <w:sz w:val="24"/>
          <w:szCs w:val="24"/>
          <w:lang w:val="es-CO"/>
        </w:rPr>
        <w:t xml:space="preserve">l desarrollo de tres elementos </w:t>
      </w:r>
      <w:r>
        <w:rPr>
          <w:sz w:val="24"/>
          <w:szCs w:val="24"/>
          <w:lang w:val="es-CO"/>
        </w:rPr>
        <w:t>fundament</w:t>
      </w:r>
      <w:r w:rsidRPr="00BF29BE">
        <w:rPr>
          <w:sz w:val="24"/>
          <w:szCs w:val="24"/>
          <w:lang w:val="es-CO"/>
        </w:rPr>
        <w:t>ales</w:t>
      </w:r>
      <w:r>
        <w:rPr>
          <w:rStyle w:val="Refdenotaalpie"/>
          <w:sz w:val="24"/>
          <w:szCs w:val="24"/>
          <w:lang w:val="es-CO"/>
        </w:rPr>
        <w:footnoteReference w:id="2"/>
      </w:r>
      <w:r>
        <w:rPr>
          <w:sz w:val="24"/>
          <w:szCs w:val="24"/>
          <w:lang w:val="es-CO"/>
        </w:rPr>
        <w:t>;</w:t>
      </w:r>
      <w:r w:rsidRPr="00BF29BE">
        <w:rPr>
          <w:sz w:val="24"/>
          <w:szCs w:val="24"/>
          <w:lang w:val="es-CO"/>
        </w:rPr>
        <w:t xml:space="preserve"> el primero asociado al </w:t>
      </w:r>
      <w:r w:rsidRPr="00BF29BE">
        <w:rPr>
          <w:sz w:val="24"/>
          <w:szCs w:val="24"/>
          <w:lang w:eastAsia="es-CO"/>
        </w:rPr>
        <w:t>acceso y la disponibilidad de información pública de calidad</w:t>
      </w:r>
      <w:r>
        <w:rPr>
          <w:sz w:val="24"/>
          <w:szCs w:val="24"/>
          <w:lang w:eastAsia="es-CO"/>
        </w:rPr>
        <w:t>,</w:t>
      </w:r>
      <w:r w:rsidRPr="00BF29BE">
        <w:rPr>
          <w:sz w:val="24"/>
          <w:szCs w:val="24"/>
          <w:lang w:eastAsia="es-CO"/>
        </w:rPr>
        <w:t xml:space="preserve"> </w:t>
      </w:r>
      <w:r>
        <w:rPr>
          <w:sz w:val="24"/>
          <w:szCs w:val="24"/>
          <w:lang w:eastAsia="es-CO"/>
        </w:rPr>
        <w:t>hacia los</w:t>
      </w:r>
      <w:r w:rsidRPr="00BF29BE">
        <w:rPr>
          <w:sz w:val="24"/>
          <w:szCs w:val="24"/>
          <w:lang w:eastAsia="es-CO"/>
        </w:rPr>
        <w:t xml:space="preserve"> ciudadanos y organizaciones</w:t>
      </w:r>
      <w:r>
        <w:rPr>
          <w:sz w:val="24"/>
          <w:szCs w:val="24"/>
          <w:lang w:eastAsia="es-CO"/>
        </w:rPr>
        <w:t>,</w:t>
      </w:r>
      <w:r w:rsidRPr="00BF29BE">
        <w:rPr>
          <w:sz w:val="24"/>
          <w:szCs w:val="24"/>
          <w:lang w:eastAsia="es-CO"/>
        </w:rPr>
        <w:t xml:space="preserve"> </w:t>
      </w:r>
      <w:r>
        <w:rPr>
          <w:sz w:val="24"/>
          <w:szCs w:val="24"/>
          <w:lang w:eastAsia="es-CO"/>
        </w:rPr>
        <w:t xml:space="preserve">sobre </w:t>
      </w:r>
      <w:r w:rsidRPr="00BF29BE">
        <w:rPr>
          <w:sz w:val="24"/>
          <w:szCs w:val="24"/>
          <w:lang w:eastAsia="es-CO"/>
        </w:rPr>
        <w:t>la gestión adelantada</w:t>
      </w:r>
      <w:r>
        <w:rPr>
          <w:sz w:val="24"/>
          <w:szCs w:val="24"/>
          <w:lang w:eastAsia="es-CO"/>
        </w:rPr>
        <w:t xml:space="preserve"> por la entidad. </w:t>
      </w:r>
    </w:p>
    <w:p w:rsidR="00A82DC2" w:rsidRDefault="00A82DC2" w:rsidP="00A82DC2">
      <w:pPr>
        <w:jc w:val="both"/>
        <w:rPr>
          <w:sz w:val="22"/>
          <w:szCs w:val="22"/>
          <w:lang w:val="es-CO"/>
        </w:rPr>
      </w:pPr>
    </w:p>
    <w:p w:rsidR="00A82DC2" w:rsidRDefault="00A82DC2" w:rsidP="00A82DC2">
      <w:pPr>
        <w:jc w:val="both"/>
        <w:rPr>
          <w:sz w:val="24"/>
          <w:szCs w:val="24"/>
          <w:lang w:eastAsia="es-CO"/>
        </w:rPr>
      </w:pPr>
      <w:r>
        <w:rPr>
          <w:sz w:val="24"/>
          <w:szCs w:val="24"/>
          <w:lang w:eastAsia="es-CO"/>
        </w:rPr>
        <w:t>E</w:t>
      </w:r>
      <w:r w:rsidRPr="00487D3D">
        <w:rPr>
          <w:sz w:val="24"/>
          <w:szCs w:val="24"/>
          <w:lang w:eastAsia="es-CO"/>
        </w:rPr>
        <w:t xml:space="preserve">l segundo elemento hace referencia a </w:t>
      </w:r>
      <w:r>
        <w:rPr>
          <w:sz w:val="24"/>
          <w:szCs w:val="24"/>
          <w:lang w:eastAsia="es-CO"/>
        </w:rPr>
        <w:t>los espacios de</w:t>
      </w:r>
      <w:r w:rsidRPr="00487D3D">
        <w:rPr>
          <w:sz w:val="24"/>
          <w:szCs w:val="24"/>
          <w:lang w:eastAsia="es-CO"/>
        </w:rPr>
        <w:t xml:space="preserve"> interacción </w:t>
      </w:r>
      <w:r>
        <w:rPr>
          <w:sz w:val="24"/>
          <w:szCs w:val="24"/>
          <w:lang w:eastAsia="es-CO"/>
        </w:rPr>
        <w:t>entre</w:t>
      </w:r>
      <w:r w:rsidRPr="00487D3D">
        <w:rPr>
          <w:sz w:val="24"/>
          <w:szCs w:val="24"/>
          <w:lang w:eastAsia="es-CO"/>
        </w:rPr>
        <w:t xml:space="preserve"> los servidores públicos y los ciudadanos</w:t>
      </w:r>
      <w:r>
        <w:rPr>
          <w:sz w:val="24"/>
          <w:szCs w:val="24"/>
          <w:lang w:eastAsia="es-CO"/>
        </w:rPr>
        <w:t>, mediante</w:t>
      </w:r>
      <w:r w:rsidRPr="00487D3D">
        <w:rPr>
          <w:sz w:val="24"/>
          <w:szCs w:val="24"/>
          <w:lang w:eastAsia="es-CO"/>
        </w:rPr>
        <w:t xml:space="preserve"> diálogo</w:t>
      </w:r>
      <w:r>
        <w:rPr>
          <w:sz w:val="24"/>
          <w:szCs w:val="24"/>
          <w:lang w:eastAsia="es-CO"/>
        </w:rPr>
        <w:t>s</w:t>
      </w:r>
      <w:r w:rsidRPr="00487D3D">
        <w:rPr>
          <w:sz w:val="24"/>
          <w:szCs w:val="24"/>
          <w:lang w:eastAsia="es-CO"/>
        </w:rPr>
        <w:t xml:space="preserve"> virtual</w:t>
      </w:r>
      <w:r>
        <w:rPr>
          <w:sz w:val="24"/>
          <w:szCs w:val="24"/>
          <w:lang w:eastAsia="es-CO"/>
        </w:rPr>
        <w:t>es</w:t>
      </w:r>
      <w:r w:rsidRPr="00487D3D">
        <w:rPr>
          <w:sz w:val="24"/>
          <w:szCs w:val="24"/>
          <w:lang w:eastAsia="es-CO"/>
        </w:rPr>
        <w:t xml:space="preserve"> y/o presencial</w:t>
      </w:r>
      <w:r>
        <w:rPr>
          <w:sz w:val="24"/>
          <w:szCs w:val="24"/>
          <w:lang w:eastAsia="es-CO"/>
        </w:rPr>
        <w:t>es</w:t>
      </w:r>
      <w:r w:rsidRPr="00487D3D">
        <w:rPr>
          <w:sz w:val="24"/>
          <w:szCs w:val="24"/>
          <w:lang w:eastAsia="es-CO"/>
        </w:rPr>
        <w:t xml:space="preserve"> </w:t>
      </w:r>
      <w:r>
        <w:rPr>
          <w:sz w:val="24"/>
          <w:szCs w:val="24"/>
          <w:lang w:eastAsia="es-CO"/>
        </w:rPr>
        <w:t>donde se presentan las acciones adelantadas por la entidad, y los ciudadanos o grupos de interés responden con observaciones, recomendaciones sobre los lineamientos de política pública definidas en las metas de cada entidad, preguntas, entre otros.</w:t>
      </w:r>
    </w:p>
    <w:p w:rsidR="00A82DC2" w:rsidRDefault="00A82DC2" w:rsidP="00A82DC2">
      <w:pPr>
        <w:jc w:val="both"/>
        <w:rPr>
          <w:sz w:val="24"/>
          <w:szCs w:val="24"/>
          <w:lang w:eastAsia="es-CO"/>
        </w:rPr>
      </w:pPr>
    </w:p>
    <w:p w:rsidR="00A82DC2" w:rsidRPr="00487D3D" w:rsidRDefault="00A82DC2" w:rsidP="00A82DC2">
      <w:pPr>
        <w:jc w:val="both"/>
        <w:rPr>
          <w:sz w:val="24"/>
          <w:szCs w:val="24"/>
          <w:lang w:eastAsia="es-CO"/>
        </w:rPr>
      </w:pPr>
      <w:r>
        <w:rPr>
          <w:sz w:val="24"/>
          <w:szCs w:val="24"/>
          <w:lang w:eastAsia="es-CO"/>
        </w:rPr>
        <w:t>Finalmente, e</w:t>
      </w:r>
      <w:r w:rsidRPr="00487D3D">
        <w:rPr>
          <w:sz w:val="24"/>
          <w:szCs w:val="24"/>
          <w:lang w:eastAsia="es-CO"/>
        </w:rPr>
        <w:t xml:space="preserve">l tercer elemento </w:t>
      </w:r>
      <w:r>
        <w:rPr>
          <w:sz w:val="24"/>
          <w:szCs w:val="24"/>
          <w:lang w:eastAsia="es-CO"/>
        </w:rPr>
        <w:t xml:space="preserve">está asociado con </w:t>
      </w:r>
      <w:r w:rsidRPr="00487D3D">
        <w:rPr>
          <w:sz w:val="24"/>
          <w:szCs w:val="24"/>
          <w:lang w:eastAsia="es-CO"/>
        </w:rPr>
        <w:t xml:space="preserve">los incentivos que se otorgan a las entidades públicas, servidores públicos y </w:t>
      </w:r>
      <w:r w:rsidR="004221A0" w:rsidRPr="00487D3D">
        <w:rPr>
          <w:sz w:val="24"/>
          <w:szCs w:val="24"/>
          <w:lang w:eastAsia="es-CO"/>
        </w:rPr>
        <w:t>ciudadanos como</w:t>
      </w:r>
      <w:r>
        <w:rPr>
          <w:sz w:val="24"/>
          <w:szCs w:val="24"/>
          <w:lang w:eastAsia="es-CO"/>
        </w:rPr>
        <w:t xml:space="preserve"> actores partícipes y movilizadores de los ejercicios de rendición de cuentas.</w:t>
      </w:r>
    </w:p>
    <w:p w:rsidR="00A82DC2" w:rsidRPr="00487D3D" w:rsidRDefault="00A82DC2" w:rsidP="00A82DC2">
      <w:pPr>
        <w:jc w:val="center"/>
        <w:rPr>
          <w:sz w:val="24"/>
          <w:szCs w:val="24"/>
          <w:lang w:eastAsia="es-CO"/>
        </w:rPr>
      </w:pPr>
    </w:p>
    <w:p w:rsidR="00A82DC2" w:rsidRPr="00487D3D" w:rsidRDefault="00A82DC2" w:rsidP="00A82DC2">
      <w:pPr>
        <w:rPr>
          <w:b/>
          <w:sz w:val="24"/>
          <w:szCs w:val="24"/>
        </w:rPr>
      </w:pPr>
    </w:p>
    <w:p w:rsidR="00A82DC2" w:rsidRPr="00487D3D" w:rsidRDefault="00A82DC2" w:rsidP="00A82DC2">
      <w:pPr>
        <w:rPr>
          <w:rFonts w:ascii="Kalinga" w:hAnsi="Kalinga" w:cs="Kalinga"/>
          <w:sz w:val="24"/>
          <w:szCs w:val="24"/>
          <w:lang w:val="es-ES"/>
        </w:rPr>
      </w:pPr>
    </w:p>
    <w:p w:rsidR="00A82DC2" w:rsidRDefault="00A82DC2" w:rsidP="00A82DC2">
      <w:pPr>
        <w:jc w:val="both"/>
        <w:rPr>
          <w:sz w:val="24"/>
          <w:szCs w:val="24"/>
          <w:lang w:val="es-CO"/>
        </w:rPr>
      </w:pPr>
      <w:r>
        <w:rPr>
          <w:sz w:val="24"/>
          <w:szCs w:val="24"/>
          <w:lang w:val="es-CO"/>
        </w:rPr>
        <w:lastRenderedPageBreak/>
        <w:t>Para la Secretaría Distrital del Hábitat, l</w:t>
      </w:r>
      <w:r w:rsidRPr="00AE2077">
        <w:rPr>
          <w:rFonts w:hint="eastAsia"/>
          <w:sz w:val="24"/>
          <w:szCs w:val="24"/>
          <w:lang w:val="es-CO"/>
        </w:rPr>
        <w:t xml:space="preserve">a estrategia de </w:t>
      </w:r>
      <w:r>
        <w:rPr>
          <w:sz w:val="24"/>
          <w:szCs w:val="24"/>
          <w:lang w:val="es-CO"/>
        </w:rPr>
        <w:t>R</w:t>
      </w:r>
      <w:r w:rsidRPr="00AE2077">
        <w:rPr>
          <w:rFonts w:hint="eastAsia"/>
          <w:sz w:val="24"/>
          <w:szCs w:val="24"/>
          <w:lang w:val="es-CO"/>
        </w:rPr>
        <w:t xml:space="preserve">endición de </w:t>
      </w:r>
      <w:r>
        <w:rPr>
          <w:sz w:val="24"/>
          <w:szCs w:val="24"/>
          <w:lang w:val="es-CO"/>
        </w:rPr>
        <w:t>C</w:t>
      </w:r>
      <w:r w:rsidRPr="00AE2077">
        <w:rPr>
          <w:rFonts w:hint="eastAsia"/>
          <w:sz w:val="24"/>
          <w:szCs w:val="24"/>
          <w:lang w:val="es-CO"/>
        </w:rPr>
        <w:t>uentas “Hábitat Responde” busca establecer una canal de doble vía con la ciudadanía y otras partes interesadas, a través de espacios de información y di</w:t>
      </w:r>
      <w:r>
        <w:rPr>
          <w:sz w:val="24"/>
          <w:szCs w:val="24"/>
          <w:lang w:val="es-CO"/>
        </w:rPr>
        <w:t>á</w:t>
      </w:r>
      <w:r w:rsidRPr="00AE2077">
        <w:rPr>
          <w:rFonts w:hint="eastAsia"/>
          <w:sz w:val="24"/>
          <w:szCs w:val="24"/>
          <w:lang w:val="es-CO"/>
        </w:rPr>
        <w:t>logo, utilizando un lenguaje claro que permitan el control social del cumplimiento de nuestras funciones, los logros y metas que rinden cuenta de la gestión realizada por la entidad.</w:t>
      </w:r>
      <w:r>
        <w:rPr>
          <w:rStyle w:val="Refdenotaalpie"/>
          <w:sz w:val="24"/>
          <w:szCs w:val="24"/>
          <w:lang w:val="es-CO"/>
        </w:rPr>
        <w:footnoteReference w:id="3"/>
      </w:r>
    </w:p>
    <w:p w:rsidR="004221A0" w:rsidRDefault="004221A0" w:rsidP="00A82DC2">
      <w:pPr>
        <w:jc w:val="both"/>
        <w:rPr>
          <w:sz w:val="24"/>
          <w:szCs w:val="24"/>
          <w:lang w:val="es-CO"/>
        </w:rPr>
      </w:pPr>
    </w:p>
    <w:p w:rsidR="004221A0" w:rsidRPr="00AE2077" w:rsidRDefault="001E38B4" w:rsidP="0008126B">
      <w:pPr>
        <w:jc w:val="both"/>
        <w:rPr>
          <w:sz w:val="24"/>
          <w:szCs w:val="24"/>
          <w:lang w:val="es-ES"/>
        </w:rPr>
      </w:pPr>
      <w:r>
        <w:rPr>
          <w:sz w:val="24"/>
          <w:szCs w:val="24"/>
          <w:lang w:val="es-CO"/>
        </w:rPr>
        <w:t xml:space="preserve">Para </w:t>
      </w:r>
      <w:r w:rsidR="0008126B">
        <w:rPr>
          <w:sz w:val="24"/>
          <w:szCs w:val="24"/>
          <w:lang w:val="es-CO"/>
        </w:rPr>
        <w:t>implementar</w:t>
      </w:r>
      <w:r w:rsidR="004221A0">
        <w:rPr>
          <w:sz w:val="24"/>
          <w:szCs w:val="24"/>
          <w:lang w:val="es-CO"/>
        </w:rPr>
        <w:t xml:space="preserve"> los lineamientos definidos </w:t>
      </w:r>
      <w:r w:rsidR="0008126B">
        <w:rPr>
          <w:sz w:val="24"/>
          <w:szCs w:val="24"/>
          <w:lang w:val="es-CO"/>
        </w:rPr>
        <w:t xml:space="preserve">en la estrategia de </w:t>
      </w:r>
      <w:r w:rsidR="004221A0">
        <w:rPr>
          <w:sz w:val="24"/>
          <w:szCs w:val="24"/>
          <w:lang w:val="es-CO"/>
        </w:rPr>
        <w:t xml:space="preserve">rendición de cuentas, la entidad aprobó mediante sesión del Comité de </w:t>
      </w:r>
      <w:r>
        <w:rPr>
          <w:sz w:val="24"/>
          <w:szCs w:val="24"/>
          <w:lang w:val="es-CO"/>
        </w:rPr>
        <w:t>Directivo el Plan Anticorrupción y de Atención al Ciudadano</w:t>
      </w:r>
      <w:r w:rsidR="0008126B">
        <w:rPr>
          <w:sz w:val="24"/>
          <w:szCs w:val="24"/>
          <w:lang w:val="es-CO"/>
        </w:rPr>
        <w:t xml:space="preserve"> 2017</w:t>
      </w:r>
      <w:r>
        <w:rPr>
          <w:sz w:val="24"/>
          <w:szCs w:val="24"/>
          <w:lang w:val="es-CO"/>
        </w:rPr>
        <w:t xml:space="preserve">, en </w:t>
      </w:r>
      <w:r w:rsidR="0008126B">
        <w:rPr>
          <w:sz w:val="24"/>
          <w:szCs w:val="24"/>
          <w:lang w:val="es-CO"/>
        </w:rPr>
        <w:t>esta instancia se aprueba</w:t>
      </w:r>
      <w:r>
        <w:rPr>
          <w:sz w:val="24"/>
          <w:szCs w:val="24"/>
          <w:lang w:val="es-CO"/>
        </w:rPr>
        <w:t xml:space="preserve"> el compo</w:t>
      </w:r>
      <w:r w:rsidR="003855E7">
        <w:rPr>
          <w:sz w:val="24"/>
          <w:szCs w:val="24"/>
          <w:lang w:val="es-CO"/>
        </w:rPr>
        <w:t>nente 3 de Rendición de Cuentas.</w:t>
      </w:r>
      <w:r>
        <w:rPr>
          <w:sz w:val="24"/>
          <w:szCs w:val="24"/>
          <w:lang w:val="es-CO"/>
        </w:rPr>
        <w:t xml:space="preserve"> </w:t>
      </w:r>
      <w:r w:rsidR="0008126B">
        <w:rPr>
          <w:sz w:val="24"/>
          <w:szCs w:val="24"/>
          <w:lang w:val="es-CO"/>
        </w:rPr>
        <w:t xml:space="preserve">Este componente contiene los canales de acceso a la información, los espacios para promover el diálogo con la ciudadanía y los incentivos para incrementar la participación en los escenarios de control social. </w:t>
      </w:r>
      <w:r w:rsidR="003855E7">
        <w:rPr>
          <w:sz w:val="24"/>
          <w:szCs w:val="24"/>
          <w:lang w:val="es-CO"/>
        </w:rPr>
        <w:t xml:space="preserve">A </w:t>
      </w:r>
      <w:r w:rsidR="007445E9">
        <w:rPr>
          <w:sz w:val="24"/>
          <w:szCs w:val="24"/>
          <w:lang w:val="es-CO"/>
        </w:rPr>
        <w:t>continuación,</w:t>
      </w:r>
      <w:r w:rsidR="003855E7">
        <w:rPr>
          <w:sz w:val="24"/>
          <w:szCs w:val="24"/>
          <w:lang w:val="es-CO"/>
        </w:rPr>
        <w:t xml:space="preserve"> se describen las acciones planeadas para cada momento.</w:t>
      </w:r>
    </w:p>
    <w:p w:rsidR="00A82DC2" w:rsidRDefault="00A82DC2" w:rsidP="00A82DC2">
      <w:pPr>
        <w:jc w:val="center"/>
        <w:rPr>
          <w:sz w:val="24"/>
          <w:szCs w:val="24"/>
        </w:rPr>
      </w:pPr>
    </w:p>
    <w:p w:rsidR="00A82DC2" w:rsidRPr="00290E65" w:rsidRDefault="00A82DC2" w:rsidP="00A82DC2">
      <w:pPr>
        <w:pStyle w:val="Ttulo3"/>
        <w:rPr>
          <w:rFonts w:ascii="Times New Roman" w:hAnsi="Times New Roman"/>
          <w:b/>
        </w:rPr>
      </w:pPr>
      <w:bookmarkStart w:id="2" w:name="_Toc504666506"/>
      <w:r w:rsidRPr="00290E65">
        <w:rPr>
          <w:rFonts w:ascii="Times New Roman" w:hAnsi="Times New Roman"/>
          <w:b/>
        </w:rPr>
        <w:t>Componente de Acceso a la Información:</w:t>
      </w:r>
      <w:bookmarkEnd w:id="2"/>
    </w:p>
    <w:p w:rsidR="00A82DC2" w:rsidRDefault="00A82DC2" w:rsidP="00A82DC2">
      <w:pPr>
        <w:jc w:val="both"/>
        <w:rPr>
          <w:sz w:val="24"/>
          <w:szCs w:val="24"/>
        </w:rPr>
      </w:pPr>
    </w:p>
    <w:p w:rsidR="00DF4E4E" w:rsidRDefault="00A82DC2" w:rsidP="007445E9">
      <w:pPr>
        <w:jc w:val="both"/>
        <w:rPr>
          <w:sz w:val="24"/>
          <w:szCs w:val="24"/>
        </w:rPr>
      </w:pPr>
      <w:r w:rsidRPr="00487D3D">
        <w:rPr>
          <w:sz w:val="24"/>
          <w:szCs w:val="24"/>
        </w:rPr>
        <w:t xml:space="preserve">Para garantizar la disponibilidad de la información pública se </w:t>
      </w:r>
      <w:r>
        <w:rPr>
          <w:sz w:val="24"/>
          <w:szCs w:val="24"/>
        </w:rPr>
        <w:t xml:space="preserve">planificaron </w:t>
      </w:r>
      <w:r w:rsidR="007445E9">
        <w:rPr>
          <w:sz w:val="24"/>
          <w:szCs w:val="24"/>
        </w:rPr>
        <w:t xml:space="preserve">cuatro acciones para la producción y publicación de información por diferentes canales, </w:t>
      </w:r>
      <w:r w:rsidR="00C94F87">
        <w:rPr>
          <w:sz w:val="24"/>
          <w:szCs w:val="24"/>
        </w:rPr>
        <w:t>de acuerdo con</w:t>
      </w:r>
      <w:r w:rsidR="007445E9">
        <w:rPr>
          <w:sz w:val="24"/>
          <w:szCs w:val="24"/>
        </w:rPr>
        <w:t xml:space="preserve"> las temáticas priorizadas en la estrategia de rendición de cuentas, </w:t>
      </w:r>
      <w:r w:rsidR="00DF4E4E">
        <w:rPr>
          <w:sz w:val="24"/>
          <w:szCs w:val="24"/>
        </w:rPr>
        <w:t>los canales definidos</w:t>
      </w:r>
      <w:r w:rsidR="007445E9">
        <w:rPr>
          <w:sz w:val="24"/>
          <w:szCs w:val="24"/>
        </w:rPr>
        <w:t xml:space="preserve"> son boletines de prensa </w:t>
      </w:r>
      <w:r w:rsidR="008A74D3">
        <w:rPr>
          <w:sz w:val="24"/>
          <w:szCs w:val="24"/>
        </w:rPr>
        <w:t xml:space="preserve">semanales, una revista virtual y </w:t>
      </w:r>
      <w:r w:rsidR="007445E9">
        <w:rPr>
          <w:sz w:val="24"/>
          <w:szCs w:val="24"/>
        </w:rPr>
        <w:t>publicac</w:t>
      </w:r>
      <w:r w:rsidR="008A74D3">
        <w:rPr>
          <w:sz w:val="24"/>
          <w:szCs w:val="24"/>
        </w:rPr>
        <w:t>iones semanales en página web.</w:t>
      </w:r>
    </w:p>
    <w:p w:rsidR="00DF4E4E" w:rsidRDefault="00DF4E4E" w:rsidP="007445E9">
      <w:pPr>
        <w:jc w:val="both"/>
        <w:rPr>
          <w:sz w:val="24"/>
          <w:szCs w:val="24"/>
        </w:rPr>
      </w:pPr>
      <w:r>
        <w:rPr>
          <w:sz w:val="24"/>
          <w:szCs w:val="24"/>
        </w:rPr>
        <w:t>Los temas priorizados para difusión en los canales de publicación son:</w:t>
      </w:r>
    </w:p>
    <w:p w:rsidR="00A82DC2" w:rsidRPr="007445E9" w:rsidRDefault="00A82DC2" w:rsidP="007445E9">
      <w:pPr>
        <w:jc w:val="both"/>
        <w:rPr>
          <w:sz w:val="24"/>
          <w:szCs w:val="24"/>
          <w:lang w:val="es-CO"/>
        </w:rPr>
      </w:pPr>
    </w:p>
    <w:p w:rsidR="007445E9" w:rsidRPr="007445E9" w:rsidRDefault="007445E9" w:rsidP="00A82DC2">
      <w:pPr>
        <w:numPr>
          <w:ilvl w:val="0"/>
          <w:numId w:val="13"/>
        </w:numPr>
        <w:jc w:val="both"/>
        <w:rPr>
          <w:sz w:val="24"/>
          <w:szCs w:val="24"/>
          <w:lang w:val="es-ES"/>
        </w:rPr>
      </w:pPr>
      <w:r w:rsidRPr="007445E9">
        <w:rPr>
          <w:rFonts w:hint="eastAsia"/>
          <w:sz w:val="24"/>
          <w:szCs w:val="24"/>
          <w:lang w:val="es-CO"/>
        </w:rPr>
        <w:t>80.000 soluciones de vivienda</w:t>
      </w:r>
    </w:p>
    <w:p w:rsidR="00A82DC2" w:rsidRPr="00BB3E2C" w:rsidRDefault="00A82DC2" w:rsidP="00A82DC2">
      <w:pPr>
        <w:numPr>
          <w:ilvl w:val="0"/>
          <w:numId w:val="13"/>
        </w:numPr>
        <w:jc w:val="both"/>
        <w:rPr>
          <w:sz w:val="24"/>
          <w:szCs w:val="24"/>
          <w:lang w:val="es-ES"/>
        </w:rPr>
      </w:pPr>
      <w:r w:rsidRPr="00BB3E2C">
        <w:rPr>
          <w:rFonts w:hint="eastAsia"/>
          <w:sz w:val="24"/>
          <w:szCs w:val="24"/>
          <w:lang w:val="es-CO"/>
        </w:rPr>
        <w:t>Mejoramiento Integral de Barrios</w:t>
      </w:r>
    </w:p>
    <w:p w:rsidR="00A82DC2" w:rsidRPr="00BB3E2C" w:rsidRDefault="00A82DC2" w:rsidP="00A82DC2">
      <w:pPr>
        <w:numPr>
          <w:ilvl w:val="0"/>
          <w:numId w:val="13"/>
        </w:numPr>
        <w:jc w:val="both"/>
        <w:rPr>
          <w:sz w:val="24"/>
          <w:szCs w:val="24"/>
          <w:lang w:val="es-ES"/>
        </w:rPr>
      </w:pPr>
      <w:r w:rsidRPr="00BB3E2C">
        <w:rPr>
          <w:rFonts w:hint="eastAsia"/>
          <w:sz w:val="24"/>
          <w:szCs w:val="24"/>
          <w:lang w:val="es-CO"/>
        </w:rPr>
        <w:t>Polígonos de monitoreo</w:t>
      </w:r>
    </w:p>
    <w:p w:rsidR="00A82DC2" w:rsidRPr="00BB3E2C" w:rsidRDefault="00A82DC2" w:rsidP="00A82DC2">
      <w:pPr>
        <w:numPr>
          <w:ilvl w:val="0"/>
          <w:numId w:val="13"/>
        </w:numPr>
        <w:jc w:val="both"/>
        <w:rPr>
          <w:sz w:val="24"/>
          <w:szCs w:val="24"/>
          <w:lang w:val="es-ES"/>
        </w:rPr>
      </w:pPr>
      <w:r w:rsidRPr="00BB3E2C">
        <w:rPr>
          <w:rFonts w:hint="eastAsia"/>
          <w:sz w:val="24"/>
          <w:szCs w:val="24"/>
          <w:lang w:val="es-CO"/>
        </w:rPr>
        <w:t>Legalización de barrios</w:t>
      </w:r>
    </w:p>
    <w:p w:rsidR="00A82DC2" w:rsidRPr="00BB3E2C" w:rsidRDefault="00A82DC2" w:rsidP="00A82DC2">
      <w:pPr>
        <w:numPr>
          <w:ilvl w:val="0"/>
          <w:numId w:val="13"/>
        </w:numPr>
        <w:jc w:val="both"/>
        <w:rPr>
          <w:sz w:val="24"/>
          <w:szCs w:val="24"/>
          <w:lang w:val="es-ES"/>
        </w:rPr>
      </w:pPr>
      <w:r w:rsidRPr="00BB3E2C">
        <w:rPr>
          <w:rFonts w:hint="eastAsia"/>
          <w:sz w:val="24"/>
          <w:szCs w:val="24"/>
          <w:lang w:val="es-CO"/>
        </w:rPr>
        <w:t>Servicios públicos eficientes</w:t>
      </w:r>
    </w:p>
    <w:p w:rsidR="00A82DC2" w:rsidRPr="00BB3E2C" w:rsidRDefault="00A82DC2" w:rsidP="00A82DC2">
      <w:pPr>
        <w:numPr>
          <w:ilvl w:val="0"/>
          <w:numId w:val="13"/>
        </w:numPr>
        <w:jc w:val="both"/>
        <w:rPr>
          <w:sz w:val="24"/>
          <w:szCs w:val="24"/>
          <w:lang w:val="es-ES"/>
        </w:rPr>
      </w:pPr>
      <w:r w:rsidRPr="00BB3E2C">
        <w:rPr>
          <w:rFonts w:hint="eastAsia"/>
          <w:sz w:val="24"/>
          <w:szCs w:val="24"/>
          <w:lang w:val="es-CO"/>
        </w:rPr>
        <w:t>Participación y relaciones con la comunidad</w:t>
      </w:r>
    </w:p>
    <w:p w:rsidR="00A82DC2" w:rsidRPr="00BB3E2C" w:rsidRDefault="00A82DC2" w:rsidP="00A82DC2">
      <w:pPr>
        <w:numPr>
          <w:ilvl w:val="0"/>
          <w:numId w:val="13"/>
        </w:numPr>
        <w:jc w:val="both"/>
        <w:rPr>
          <w:sz w:val="24"/>
          <w:szCs w:val="24"/>
          <w:lang w:val="es-ES"/>
        </w:rPr>
      </w:pPr>
      <w:r w:rsidRPr="00BB3E2C">
        <w:rPr>
          <w:rFonts w:hint="eastAsia"/>
          <w:sz w:val="24"/>
          <w:szCs w:val="24"/>
          <w:lang w:val="es-CO"/>
        </w:rPr>
        <w:t>Actividades de los funcionarios de la SDHT</w:t>
      </w:r>
    </w:p>
    <w:p w:rsidR="00A82DC2" w:rsidRDefault="00A82DC2" w:rsidP="00A82DC2">
      <w:pPr>
        <w:jc w:val="both"/>
        <w:rPr>
          <w:sz w:val="24"/>
          <w:szCs w:val="24"/>
          <w:lang w:val="es-CO"/>
        </w:rPr>
      </w:pPr>
    </w:p>
    <w:p w:rsidR="00A82DC2" w:rsidRDefault="00A82DC2" w:rsidP="00A82DC2">
      <w:pPr>
        <w:ind w:left="360"/>
        <w:jc w:val="both"/>
        <w:rPr>
          <w:sz w:val="24"/>
          <w:szCs w:val="24"/>
          <w:lang w:val="es-ES"/>
        </w:rPr>
      </w:pPr>
    </w:p>
    <w:p w:rsidR="00A82DC2" w:rsidRPr="00DC0C20" w:rsidRDefault="00A82DC2" w:rsidP="00A82DC2">
      <w:pPr>
        <w:pStyle w:val="Ttulo3"/>
        <w:rPr>
          <w:rFonts w:ascii="Times New Roman" w:hAnsi="Times New Roman"/>
          <w:b/>
        </w:rPr>
      </w:pPr>
      <w:bookmarkStart w:id="3" w:name="_Toc504666507"/>
      <w:r w:rsidRPr="00DC0C20">
        <w:rPr>
          <w:rFonts w:ascii="Times New Roman" w:hAnsi="Times New Roman"/>
          <w:b/>
        </w:rPr>
        <w:t>Componente Acciones de Diálogo</w:t>
      </w:r>
      <w:bookmarkEnd w:id="3"/>
    </w:p>
    <w:p w:rsidR="00A82DC2" w:rsidRDefault="00A82DC2" w:rsidP="00A82DC2">
      <w:pPr>
        <w:jc w:val="both"/>
        <w:rPr>
          <w:sz w:val="24"/>
          <w:szCs w:val="24"/>
        </w:rPr>
      </w:pPr>
    </w:p>
    <w:p w:rsidR="00A82DC2" w:rsidRDefault="00A82DC2" w:rsidP="00A82DC2">
      <w:pPr>
        <w:jc w:val="both"/>
        <w:rPr>
          <w:sz w:val="24"/>
          <w:szCs w:val="24"/>
        </w:rPr>
      </w:pPr>
      <w:r>
        <w:rPr>
          <w:sz w:val="24"/>
          <w:szCs w:val="24"/>
        </w:rPr>
        <w:t xml:space="preserve">En relación con las acciones definidas para los espacios de diálogo, la </w:t>
      </w:r>
      <w:r w:rsidR="00DF4E4E">
        <w:rPr>
          <w:sz w:val="24"/>
          <w:szCs w:val="24"/>
        </w:rPr>
        <w:t>SDHT</w:t>
      </w:r>
      <w:r>
        <w:rPr>
          <w:sz w:val="24"/>
          <w:szCs w:val="24"/>
        </w:rPr>
        <w:t xml:space="preserve"> estableció en la estrategia de Rendición de Cuentas el desarrollo de actividades enfocadas a la interlocución entre los ciudadanos y los servidores públicos a través de espacios presenciales y virtuales como los siguientes: </w:t>
      </w:r>
    </w:p>
    <w:p w:rsidR="00DF4E4E" w:rsidRDefault="00DF4E4E" w:rsidP="00A82DC2">
      <w:pPr>
        <w:jc w:val="both"/>
        <w:rPr>
          <w:sz w:val="24"/>
          <w:szCs w:val="24"/>
        </w:rPr>
      </w:pPr>
    </w:p>
    <w:p w:rsidR="00DF4E4E" w:rsidRPr="00DF4E4E" w:rsidRDefault="00DF4E4E" w:rsidP="00D4605D">
      <w:pPr>
        <w:numPr>
          <w:ilvl w:val="0"/>
          <w:numId w:val="13"/>
        </w:numPr>
        <w:jc w:val="both"/>
        <w:rPr>
          <w:sz w:val="24"/>
          <w:szCs w:val="24"/>
        </w:rPr>
      </w:pPr>
      <w:r w:rsidRPr="00DF4E4E">
        <w:rPr>
          <w:rFonts w:hint="eastAsia"/>
          <w:sz w:val="24"/>
          <w:szCs w:val="24"/>
          <w:lang w:val="es-CO"/>
        </w:rPr>
        <w:t>Mesas de Di</w:t>
      </w:r>
      <w:r w:rsidRPr="00DF4E4E">
        <w:rPr>
          <w:sz w:val="24"/>
          <w:szCs w:val="24"/>
          <w:lang w:val="es-CO"/>
        </w:rPr>
        <w:t>álogo sectorial</w:t>
      </w:r>
      <w:r>
        <w:rPr>
          <w:sz w:val="24"/>
          <w:szCs w:val="24"/>
          <w:lang w:val="es-CO"/>
        </w:rPr>
        <w:t xml:space="preserve"> </w:t>
      </w:r>
    </w:p>
    <w:p w:rsidR="00DF4E4E" w:rsidRPr="00DF4E4E" w:rsidRDefault="00DF4E4E" w:rsidP="00D4605D">
      <w:pPr>
        <w:numPr>
          <w:ilvl w:val="0"/>
          <w:numId w:val="13"/>
        </w:numPr>
        <w:jc w:val="both"/>
        <w:rPr>
          <w:sz w:val="24"/>
          <w:szCs w:val="24"/>
        </w:rPr>
      </w:pPr>
      <w:r>
        <w:rPr>
          <w:sz w:val="24"/>
          <w:szCs w:val="24"/>
          <w:lang w:val="es-CO"/>
        </w:rPr>
        <w:t xml:space="preserve">Mesa de Pactos </w:t>
      </w:r>
    </w:p>
    <w:p w:rsidR="00DF4E4E" w:rsidRPr="00DF4E4E" w:rsidRDefault="00DF4E4E" w:rsidP="00D4605D">
      <w:pPr>
        <w:numPr>
          <w:ilvl w:val="0"/>
          <w:numId w:val="13"/>
        </w:numPr>
        <w:jc w:val="both"/>
        <w:rPr>
          <w:sz w:val="24"/>
          <w:szCs w:val="24"/>
        </w:rPr>
      </w:pPr>
      <w:r>
        <w:rPr>
          <w:sz w:val="24"/>
          <w:szCs w:val="24"/>
          <w:lang w:val="es-CO"/>
        </w:rPr>
        <w:t>Rendición de Cuentas Virtual</w:t>
      </w:r>
    </w:p>
    <w:p w:rsidR="00A82DC2" w:rsidRDefault="00A82DC2" w:rsidP="00A82DC2">
      <w:pPr>
        <w:jc w:val="both"/>
        <w:rPr>
          <w:sz w:val="24"/>
          <w:szCs w:val="24"/>
        </w:rPr>
      </w:pPr>
    </w:p>
    <w:p w:rsidR="00A82DC2" w:rsidRPr="00334EC8" w:rsidRDefault="00A82DC2" w:rsidP="00A82DC2">
      <w:pPr>
        <w:pStyle w:val="Ttulo3"/>
        <w:rPr>
          <w:rFonts w:ascii="Times New Roman" w:hAnsi="Times New Roman"/>
          <w:b/>
        </w:rPr>
      </w:pPr>
    </w:p>
    <w:p w:rsidR="00A82DC2" w:rsidRDefault="00A82DC2" w:rsidP="00A82DC2">
      <w:pPr>
        <w:pStyle w:val="Ttulo3"/>
        <w:rPr>
          <w:rFonts w:ascii="Times New Roman" w:hAnsi="Times New Roman"/>
          <w:b/>
        </w:rPr>
      </w:pPr>
      <w:bookmarkStart w:id="4" w:name="_Toc504666508"/>
      <w:r w:rsidRPr="00334EC8">
        <w:rPr>
          <w:rFonts w:ascii="Times New Roman" w:hAnsi="Times New Roman"/>
          <w:b/>
        </w:rPr>
        <w:t>Componente Incentivos para la Rendición de Cuentas</w:t>
      </w:r>
      <w:bookmarkEnd w:id="4"/>
    </w:p>
    <w:p w:rsidR="00A82DC2" w:rsidRDefault="00A82DC2" w:rsidP="00A82DC2"/>
    <w:p w:rsidR="00A82DC2" w:rsidRPr="00334EC8" w:rsidRDefault="00A82DC2" w:rsidP="00A82DC2">
      <w:pPr>
        <w:jc w:val="both"/>
        <w:rPr>
          <w:sz w:val="24"/>
          <w:szCs w:val="24"/>
        </w:rPr>
      </w:pPr>
      <w:r w:rsidRPr="00334EC8">
        <w:rPr>
          <w:sz w:val="24"/>
          <w:szCs w:val="24"/>
        </w:rPr>
        <w:t xml:space="preserve">En relación con los incentivos institucionales generados para promover la </w:t>
      </w:r>
      <w:r>
        <w:rPr>
          <w:sz w:val="24"/>
          <w:szCs w:val="24"/>
        </w:rPr>
        <w:t>R</w:t>
      </w:r>
      <w:r w:rsidRPr="00334EC8">
        <w:rPr>
          <w:sz w:val="24"/>
          <w:szCs w:val="24"/>
        </w:rPr>
        <w:t xml:space="preserve">endición de </w:t>
      </w:r>
      <w:r>
        <w:rPr>
          <w:sz w:val="24"/>
          <w:szCs w:val="24"/>
        </w:rPr>
        <w:t>C</w:t>
      </w:r>
      <w:r w:rsidRPr="00334EC8">
        <w:rPr>
          <w:sz w:val="24"/>
          <w:szCs w:val="24"/>
        </w:rPr>
        <w:t>uentas, la entidad enfocó sus esfuerzos en el fortalecimiento de competencias de los servidores p</w:t>
      </w:r>
      <w:r>
        <w:rPr>
          <w:sz w:val="24"/>
          <w:szCs w:val="24"/>
        </w:rPr>
        <w:t xml:space="preserve">úblicos, </w:t>
      </w:r>
      <w:r w:rsidR="004B23D2">
        <w:rPr>
          <w:sz w:val="24"/>
          <w:szCs w:val="24"/>
        </w:rPr>
        <w:t>a través del desarrollo de la jornada de capacitación sobre Rendición de</w:t>
      </w:r>
      <w:r w:rsidR="00D618C6">
        <w:rPr>
          <w:sz w:val="24"/>
          <w:szCs w:val="24"/>
        </w:rPr>
        <w:t xml:space="preserve"> Cuentas en el marco del Ciclo de </w:t>
      </w:r>
      <w:r w:rsidR="004B23D2">
        <w:rPr>
          <w:sz w:val="24"/>
          <w:szCs w:val="24"/>
        </w:rPr>
        <w:t xml:space="preserve">Gobierno Abierto, la sensibilización de los servidores mediante un </w:t>
      </w:r>
      <w:r w:rsidR="001436F1">
        <w:rPr>
          <w:sz w:val="24"/>
          <w:szCs w:val="24"/>
        </w:rPr>
        <w:t>sketch</w:t>
      </w:r>
      <w:r w:rsidR="004B23D2">
        <w:rPr>
          <w:sz w:val="24"/>
          <w:szCs w:val="24"/>
        </w:rPr>
        <w:t xml:space="preserve"> de rendición de cuentas y el reconocimiento al mejor socializador de la rendición de cuentas como reto de la estrategia de gamificación de transparencia.</w:t>
      </w:r>
    </w:p>
    <w:p w:rsidR="00A82DC2" w:rsidRDefault="00A82DC2" w:rsidP="00A82DC2">
      <w:pPr>
        <w:jc w:val="both"/>
        <w:rPr>
          <w:sz w:val="24"/>
          <w:szCs w:val="24"/>
        </w:rPr>
      </w:pPr>
    </w:p>
    <w:p w:rsidR="00A82DC2" w:rsidRPr="00487D3D" w:rsidRDefault="00A82DC2" w:rsidP="00A82DC2">
      <w:pPr>
        <w:jc w:val="both"/>
        <w:rPr>
          <w:sz w:val="24"/>
          <w:szCs w:val="24"/>
        </w:rPr>
      </w:pPr>
    </w:p>
    <w:p w:rsidR="00A82DC2" w:rsidRPr="00B718B0" w:rsidRDefault="00125830" w:rsidP="00A82DC2">
      <w:pPr>
        <w:pStyle w:val="Ttulo1"/>
        <w:jc w:val="left"/>
        <w:rPr>
          <w:rFonts w:ascii="Times New Roman" w:hAnsi="Times New Roman"/>
          <w:lang w:val="es-CO"/>
        </w:rPr>
      </w:pPr>
      <w:bookmarkStart w:id="5" w:name="_Toc504666509"/>
      <w:r>
        <w:rPr>
          <w:rFonts w:ascii="Times New Roman" w:hAnsi="Times New Roman"/>
          <w:lang w:val="es-CO"/>
        </w:rPr>
        <w:t>Resultados a</w:t>
      </w:r>
      <w:r w:rsidR="00A82DC2" w:rsidRPr="00B718B0">
        <w:rPr>
          <w:rFonts w:ascii="Times New Roman" w:hAnsi="Times New Roman"/>
          <w:lang w:val="es-CO"/>
        </w:rPr>
        <w:t>cciones de Rendición de Cuentas 201</w:t>
      </w:r>
      <w:r>
        <w:rPr>
          <w:rFonts w:ascii="Times New Roman" w:hAnsi="Times New Roman"/>
          <w:lang w:val="es-CO"/>
        </w:rPr>
        <w:t>7</w:t>
      </w:r>
      <w:bookmarkEnd w:id="5"/>
    </w:p>
    <w:p w:rsidR="00A82DC2" w:rsidRPr="009F6BAF" w:rsidRDefault="00A82DC2" w:rsidP="00A82DC2">
      <w:pPr>
        <w:jc w:val="both"/>
        <w:rPr>
          <w:sz w:val="24"/>
          <w:szCs w:val="24"/>
          <w:lang w:val="es-CO"/>
        </w:rPr>
      </w:pPr>
      <w:r w:rsidRPr="009F6BAF">
        <w:rPr>
          <w:sz w:val="24"/>
          <w:szCs w:val="24"/>
          <w:lang w:val="es-CO"/>
        </w:rPr>
        <w:t>Para la vigencia 201</w:t>
      </w:r>
      <w:r w:rsidR="0047567D">
        <w:rPr>
          <w:sz w:val="24"/>
          <w:szCs w:val="24"/>
          <w:lang w:val="es-CO"/>
        </w:rPr>
        <w:t>7</w:t>
      </w:r>
      <w:r w:rsidRPr="009F6BAF">
        <w:rPr>
          <w:sz w:val="24"/>
          <w:szCs w:val="24"/>
          <w:lang w:val="es-CO"/>
        </w:rPr>
        <w:t xml:space="preserve">, </w:t>
      </w:r>
      <w:r w:rsidR="0047567D">
        <w:rPr>
          <w:sz w:val="24"/>
          <w:szCs w:val="24"/>
          <w:lang w:val="es-CO"/>
        </w:rPr>
        <w:t>la Secretaría Distrital del Hábitat cumplió con la totalidad de las acciones definidas en el cronograma de rendición de cuentas así:</w:t>
      </w:r>
    </w:p>
    <w:p w:rsidR="00A82DC2" w:rsidRDefault="00A82DC2" w:rsidP="00A82DC2">
      <w:pPr>
        <w:jc w:val="both"/>
        <w:rPr>
          <w:sz w:val="22"/>
          <w:szCs w:val="22"/>
          <w:lang w:val="es-CO"/>
        </w:rPr>
      </w:pPr>
    </w:p>
    <w:p w:rsidR="00A82DC2" w:rsidRPr="009F6BAF" w:rsidRDefault="00A82DC2" w:rsidP="00A82DC2">
      <w:pPr>
        <w:pStyle w:val="Ttulo3"/>
        <w:rPr>
          <w:rFonts w:ascii="Times New Roman" w:hAnsi="Times New Roman"/>
          <w:b/>
          <w:lang w:val="es-CO"/>
        </w:rPr>
      </w:pPr>
      <w:bookmarkStart w:id="6" w:name="_Toc504666510"/>
      <w:r w:rsidRPr="009F6BAF">
        <w:rPr>
          <w:rFonts w:ascii="Times New Roman" w:hAnsi="Times New Roman"/>
          <w:b/>
          <w:lang w:val="es-CO"/>
        </w:rPr>
        <w:t>Acciones componente de acceso a la información</w:t>
      </w:r>
      <w:bookmarkEnd w:id="6"/>
    </w:p>
    <w:p w:rsidR="00A82DC2" w:rsidRDefault="00A82DC2" w:rsidP="00A82DC2">
      <w:pPr>
        <w:jc w:val="both"/>
        <w:rPr>
          <w:sz w:val="22"/>
          <w:szCs w:val="22"/>
          <w:lang w:val="es-CO"/>
        </w:rPr>
      </w:pPr>
    </w:p>
    <w:p w:rsidR="00A82DC2" w:rsidRPr="00502365" w:rsidRDefault="00A82DC2" w:rsidP="00A82DC2">
      <w:pPr>
        <w:pStyle w:val="Ttulo4"/>
        <w:rPr>
          <w:rFonts w:ascii="Times New Roman" w:hAnsi="Times New Roman"/>
          <w:szCs w:val="24"/>
          <w:lang w:val="es-CO"/>
        </w:rPr>
      </w:pPr>
      <w:r w:rsidRPr="00502365">
        <w:rPr>
          <w:rFonts w:ascii="Times New Roman" w:hAnsi="Times New Roman"/>
          <w:szCs w:val="24"/>
          <w:lang w:val="es-CO"/>
        </w:rPr>
        <w:t>Boletín de prensa:</w:t>
      </w:r>
    </w:p>
    <w:p w:rsidR="00A82DC2" w:rsidRPr="00502365" w:rsidRDefault="00A82DC2" w:rsidP="00A82DC2">
      <w:pPr>
        <w:jc w:val="both"/>
        <w:rPr>
          <w:sz w:val="24"/>
          <w:szCs w:val="24"/>
          <w:lang w:val="es-CO"/>
        </w:rPr>
      </w:pPr>
    </w:p>
    <w:p w:rsidR="0047567D" w:rsidRPr="0047567D" w:rsidRDefault="0047567D" w:rsidP="0047567D">
      <w:pPr>
        <w:pStyle w:val="Sinespaciado"/>
        <w:jc w:val="both"/>
        <w:rPr>
          <w:rFonts w:ascii="Times New Roman" w:eastAsia="Times New Roman" w:hAnsi="Times New Roman" w:cs="Times New Roman"/>
          <w:sz w:val="24"/>
          <w:szCs w:val="24"/>
          <w:lang w:val="es-ES_tradnl" w:eastAsia="es-ES"/>
        </w:rPr>
      </w:pPr>
      <w:r w:rsidRPr="0047567D">
        <w:rPr>
          <w:rFonts w:ascii="Times New Roman" w:eastAsia="Times New Roman" w:hAnsi="Times New Roman" w:cs="Times New Roman"/>
          <w:sz w:val="24"/>
          <w:szCs w:val="24"/>
          <w:lang w:val="es-ES_tradnl" w:eastAsia="es-ES"/>
        </w:rPr>
        <w:t>Liderada por la Oficina Asesora de Comunicaciones (OAC) se generaron 220 boletines de prensa anuales, a través de medios de comunicación masivos de carácter comunitario y distrital, en los cuales se logró evidenciar los avances de las políticas y programas del Sector Hábitat.</w:t>
      </w:r>
    </w:p>
    <w:p w:rsidR="0047567D" w:rsidRPr="0047567D" w:rsidRDefault="0047567D" w:rsidP="0047567D">
      <w:pPr>
        <w:pStyle w:val="Sinespaciado"/>
        <w:jc w:val="both"/>
        <w:rPr>
          <w:rFonts w:ascii="Times New Roman" w:eastAsia="Times New Roman" w:hAnsi="Times New Roman" w:cs="Times New Roman"/>
          <w:sz w:val="24"/>
          <w:szCs w:val="24"/>
          <w:lang w:val="es-ES_tradnl" w:eastAsia="es-ES"/>
        </w:rPr>
      </w:pPr>
    </w:p>
    <w:p w:rsidR="0047567D" w:rsidRPr="0047567D" w:rsidRDefault="0047567D" w:rsidP="0047567D">
      <w:pPr>
        <w:pStyle w:val="Sinespaciado"/>
        <w:jc w:val="both"/>
        <w:rPr>
          <w:rFonts w:ascii="Times New Roman" w:eastAsia="Times New Roman" w:hAnsi="Times New Roman" w:cs="Times New Roman"/>
          <w:sz w:val="24"/>
          <w:szCs w:val="24"/>
          <w:lang w:val="es-ES_tradnl" w:eastAsia="es-ES"/>
        </w:rPr>
      </w:pPr>
      <w:r w:rsidRPr="0047567D">
        <w:rPr>
          <w:rFonts w:ascii="Times New Roman" w:eastAsia="Times New Roman" w:hAnsi="Times New Roman" w:cs="Times New Roman"/>
          <w:sz w:val="24"/>
          <w:szCs w:val="24"/>
          <w:lang w:val="es-ES_tradnl" w:eastAsia="es-ES"/>
        </w:rPr>
        <w:t>En los boletines envidados se trataron temas como las 80.000 soluciones de vivienda, el mejoramiento integral de barrios, los polígonos de monitoreo, la legalización de barrios, los servicios públicos eficientes y la participación ciudadana.</w:t>
      </w:r>
    </w:p>
    <w:p w:rsidR="0047567D" w:rsidRPr="0047567D" w:rsidRDefault="0047567D" w:rsidP="0047567D">
      <w:pPr>
        <w:pStyle w:val="Sinespaciado"/>
        <w:jc w:val="both"/>
        <w:rPr>
          <w:rFonts w:ascii="Times New Roman" w:eastAsia="Times New Roman" w:hAnsi="Times New Roman" w:cs="Times New Roman"/>
          <w:sz w:val="24"/>
          <w:szCs w:val="24"/>
          <w:lang w:val="es-ES_tradnl" w:eastAsia="es-ES"/>
        </w:rPr>
      </w:pPr>
    </w:p>
    <w:p w:rsidR="0047567D" w:rsidRPr="0047567D" w:rsidRDefault="0047567D" w:rsidP="0047567D">
      <w:pPr>
        <w:pStyle w:val="Sinespaciado"/>
        <w:jc w:val="both"/>
        <w:rPr>
          <w:rFonts w:ascii="Times New Roman" w:eastAsia="Times New Roman" w:hAnsi="Times New Roman" w:cs="Times New Roman"/>
          <w:sz w:val="24"/>
          <w:szCs w:val="24"/>
          <w:lang w:val="es-ES_tradnl" w:eastAsia="es-ES"/>
        </w:rPr>
      </w:pPr>
      <w:r w:rsidRPr="0047567D">
        <w:rPr>
          <w:rFonts w:ascii="Times New Roman" w:eastAsia="Times New Roman" w:hAnsi="Times New Roman" w:cs="Times New Roman"/>
          <w:sz w:val="24"/>
          <w:szCs w:val="24"/>
          <w:lang w:val="es-ES_tradnl" w:eastAsia="es-ES"/>
        </w:rPr>
        <w:t>Entre el 1 de enero y el 31 de diciembre de 2017, se elaboraron y enviaron 220 comunicados de prensa a los distintos medios de comunicación del orden distrital.</w:t>
      </w:r>
    </w:p>
    <w:p w:rsidR="0047567D" w:rsidRPr="0047567D" w:rsidRDefault="0047567D" w:rsidP="0047567D">
      <w:pPr>
        <w:pStyle w:val="Sinespaciado"/>
        <w:jc w:val="both"/>
        <w:rPr>
          <w:rFonts w:ascii="Times New Roman" w:eastAsia="Times New Roman" w:hAnsi="Times New Roman" w:cs="Times New Roman"/>
          <w:sz w:val="24"/>
          <w:szCs w:val="24"/>
          <w:lang w:val="es-ES_tradnl" w:eastAsia="es-ES"/>
        </w:rPr>
      </w:pPr>
    </w:p>
    <w:p w:rsidR="0047567D" w:rsidRPr="0047567D" w:rsidRDefault="0047567D" w:rsidP="0047567D">
      <w:pPr>
        <w:pStyle w:val="Sinespaciado"/>
        <w:rPr>
          <w:rFonts w:ascii="Times New Roman" w:eastAsia="Times New Roman" w:hAnsi="Times New Roman" w:cs="Times New Roman"/>
          <w:sz w:val="24"/>
          <w:szCs w:val="24"/>
          <w:lang w:val="es-ES_tradnl" w:eastAsia="es-ES"/>
        </w:rPr>
      </w:pPr>
      <w:r w:rsidRPr="0047567D">
        <w:rPr>
          <w:rFonts w:ascii="Times New Roman" w:eastAsia="Times New Roman" w:hAnsi="Times New Roman" w:cs="Times New Roman"/>
          <w:noProof/>
          <w:sz w:val="24"/>
          <w:szCs w:val="24"/>
          <w:lang w:val="es-ES_tradnl" w:eastAsia="es-ES"/>
        </w:rPr>
        <w:lastRenderedPageBreak/>
        <w:drawing>
          <wp:inline distT="0" distB="0" distL="0" distR="0" wp14:anchorId="493C59D2" wp14:editId="2B4E9FA3">
            <wp:extent cx="4963287" cy="2618842"/>
            <wp:effectExtent l="0" t="0" r="8890" b="0"/>
            <wp:docPr id="14" name="Imagen 14" descr="C:\Users\mgomezg\AppData\Local\Microsoft\Windows\INetCache\Content.Word\LEGALIZACION ELTIEMPO.PNG"/>
            <wp:cNvGraphicFramePr/>
            <a:graphic xmlns:a="http://schemas.openxmlformats.org/drawingml/2006/main">
              <a:graphicData uri="http://schemas.openxmlformats.org/drawingml/2006/picture">
                <pic:pic xmlns:pic="http://schemas.openxmlformats.org/drawingml/2006/picture">
                  <pic:nvPicPr>
                    <pic:cNvPr id="1" name="Imagen 1" descr="C:\Users\mgomezg\AppData\Local\Microsoft\Windows\INetCache\Content.Word\LEGALIZACION ELTIEMPO.P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1122" cy="2622976"/>
                    </a:xfrm>
                    <a:prstGeom prst="rect">
                      <a:avLst/>
                    </a:prstGeom>
                    <a:noFill/>
                    <a:ln>
                      <a:noFill/>
                    </a:ln>
                  </pic:spPr>
                </pic:pic>
              </a:graphicData>
            </a:graphic>
          </wp:inline>
        </w:drawing>
      </w:r>
    </w:p>
    <w:p w:rsidR="0047567D" w:rsidRPr="0007116B" w:rsidRDefault="0047567D" w:rsidP="0047567D">
      <w:pPr>
        <w:pStyle w:val="Ttulo5"/>
        <w:jc w:val="center"/>
        <w:rPr>
          <w:sz w:val="20"/>
        </w:rPr>
      </w:pPr>
      <w:r w:rsidRPr="0007116B">
        <w:rPr>
          <w:sz w:val="20"/>
        </w:rPr>
        <w:t>Imagen 1 - Nota de Prensa</w:t>
      </w:r>
    </w:p>
    <w:p w:rsidR="00A82DC2" w:rsidRPr="0007116B" w:rsidRDefault="00A82DC2" w:rsidP="00A82DC2">
      <w:pPr>
        <w:pStyle w:val="Sinespaciado"/>
        <w:jc w:val="both"/>
        <w:rPr>
          <w:rFonts w:ascii="Times New Roman" w:hAnsi="Times New Roman" w:cs="Times New Roman"/>
          <w:b/>
          <w:sz w:val="24"/>
          <w:szCs w:val="24"/>
        </w:rPr>
      </w:pPr>
    </w:p>
    <w:p w:rsidR="00D618C6" w:rsidRDefault="00D618C6" w:rsidP="00D618C6">
      <w:pPr>
        <w:jc w:val="both"/>
        <w:rPr>
          <w:rFonts w:ascii="Arial" w:hAnsi="Arial" w:cs="Arial"/>
          <w:sz w:val="24"/>
          <w:szCs w:val="24"/>
        </w:rPr>
      </w:pPr>
    </w:p>
    <w:p w:rsidR="00D618C6" w:rsidRPr="00D618C6" w:rsidRDefault="00D618C6" w:rsidP="00D618C6">
      <w:pPr>
        <w:jc w:val="both"/>
        <w:rPr>
          <w:b/>
          <w:sz w:val="24"/>
          <w:szCs w:val="24"/>
          <w:lang w:val="es-CO"/>
        </w:rPr>
      </w:pPr>
      <w:r w:rsidRPr="00D618C6">
        <w:rPr>
          <w:b/>
          <w:sz w:val="24"/>
          <w:szCs w:val="24"/>
          <w:lang w:val="es-CO"/>
        </w:rPr>
        <w:t>Revista Virtual</w:t>
      </w:r>
      <w:r>
        <w:rPr>
          <w:b/>
          <w:sz w:val="24"/>
          <w:szCs w:val="24"/>
          <w:lang w:val="es-CO"/>
        </w:rPr>
        <w:t>:</w:t>
      </w:r>
    </w:p>
    <w:p w:rsidR="00D618C6" w:rsidRDefault="00D618C6" w:rsidP="00D618C6">
      <w:pPr>
        <w:jc w:val="both"/>
        <w:rPr>
          <w:rFonts w:ascii="Arial" w:hAnsi="Arial" w:cs="Arial"/>
          <w:sz w:val="24"/>
          <w:szCs w:val="24"/>
        </w:rPr>
      </w:pPr>
    </w:p>
    <w:p w:rsidR="00D618C6" w:rsidRPr="00D618C6" w:rsidRDefault="00D618C6" w:rsidP="00D618C6">
      <w:pPr>
        <w:jc w:val="both"/>
        <w:rPr>
          <w:sz w:val="24"/>
          <w:szCs w:val="24"/>
        </w:rPr>
      </w:pPr>
      <w:r>
        <w:rPr>
          <w:rFonts w:ascii="Arial" w:hAnsi="Arial" w:cs="Arial"/>
          <w:sz w:val="24"/>
          <w:szCs w:val="24"/>
        </w:rPr>
        <w:t>“</w:t>
      </w:r>
      <w:r w:rsidRPr="00D618C6">
        <w:rPr>
          <w:sz w:val="24"/>
          <w:szCs w:val="24"/>
        </w:rPr>
        <w:t>Buen Hábitat”, se publica una vez al año. En la edición 2017, se hizo un resumen, del proyecto “Desmarginalizarte”, el mejoramiento de la calidad de vida en los barrios informales, y los festivales de convivencia. Todo lo anterior, mostrando la participación de las poblaciones con las que se está trabajando para mejorar su entorno y su calidad de vida. La manera de hacerlo es documentando el antes, durante y después de realizar el trabajo de mejoras en las viviendas que se encuentran en estos sectores vulnerables.</w:t>
      </w:r>
    </w:p>
    <w:p w:rsidR="00D618C6" w:rsidRDefault="00D618C6" w:rsidP="00D618C6">
      <w:pPr>
        <w:jc w:val="both"/>
        <w:rPr>
          <w:rFonts w:ascii="Arial" w:hAnsi="Arial" w:cs="Arial"/>
          <w:sz w:val="24"/>
          <w:szCs w:val="24"/>
        </w:rPr>
      </w:pPr>
    </w:p>
    <w:p w:rsidR="00703C3B" w:rsidRDefault="00D618C6" w:rsidP="00703C3B">
      <w:pPr>
        <w:pStyle w:val="Sinespaciado"/>
        <w:jc w:val="center"/>
        <w:rPr>
          <w:sz w:val="20"/>
          <w:szCs w:val="20"/>
        </w:rPr>
      </w:pPr>
      <w:r>
        <w:rPr>
          <w:noProof/>
        </w:rPr>
        <w:drawing>
          <wp:inline distT="0" distB="0" distL="0" distR="0" wp14:anchorId="64F5D52D" wp14:editId="45FFF9C9">
            <wp:extent cx="4435740" cy="234315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2138" cy="2351812"/>
                    </a:xfrm>
                    <a:prstGeom prst="rect">
                      <a:avLst/>
                    </a:prstGeom>
                  </pic:spPr>
                </pic:pic>
              </a:graphicData>
            </a:graphic>
          </wp:inline>
        </w:drawing>
      </w:r>
    </w:p>
    <w:p w:rsidR="0098262F" w:rsidRPr="0007116B" w:rsidRDefault="0098262F" w:rsidP="00703C3B">
      <w:pPr>
        <w:pStyle w:val="Sinespaciado"/>
        <w:jc w:val="center"/>
        <w:rPr>
          <w:rFonts w:ascii="Times New Roman" w:hAnsi="Times New Roman" w:cs="Times New Roman"/>
          <w:b/>
          <w:sz w:val="20"/>
          <w:szCs w:val="20"/>
        </w:rPr>
      </w:pPr>
      <w:r w:rsidRPr="0007116B">
        <w:rPr>
          <w:rFonts w:ascii="Times New Roman" w:hAnsi="Times New Roman" w:cs="Times New Roman"/>
          <w:b/>
          <w:sz w:val="20"/>
          <w:szCs w:val="20"/>
        </w:rPr>
        <w:t>Imagen 2 – Artículo de la revista virtual</w:t>
      </w:r>
    </w:p>
    <w:p w:rsidR="00703C3B" w:rsidRDefault="00703C3B" w:rsidP="00A82DC2">
      <w:pPr>
        <w:pStyle w:val="Ttulo4"/>
        <w:rPr>
          <w:rFonts w:ascii="Times New Roman" w:hAnsi="Times New Roman"/>
          <w:lang w:val="es-CO"/>
        </w:rPr>
      </w:pPr>
    </w:p>
    <w:p w:rsidR="00A82DC2" w:rsidRDefault="00A82DC2" w:rsidP="00A82DC2">
      <w:pPr>
        <w:pStyle w:val="Ttulo4"/>
        <w:rPr>
          <w:rFonts w:ascii="Times New Roman" w:hAnsi="Times New Roman"/>
          <w:lang w:val="es-CO"/>
        </w:rPr>
      </w:pPr>
      <w:r w:rsidRPr="00502365">
        <w:rPr>
          <w:rFonts w:ascii="Times New Roman" w:hAnsi="Times New Roman"/>
          <w:lang w:val="es-CO"/>
        </w:rPr>
        <w:t>Publicaciones en Página web</w:t>
      </w:r>
      <w:r>
        <w:rPr>
          <w:rFonts w:ascii="Times New Roman" w:hAnsi="Times New Roman"/>
          <w:lang w:val="es-CO"/>
        </w:rPr>
        <w:t>:</w:t>
      </w:r>
    </w:p>
    <w:p w:rsidR="00A82DC2" w:rsidRDefault="00A82DC2" w:rsidP="00A82DC2">
      <w:pPr>
        <w:rPr>
          <w:lang w:val="es-CO"/>
        </w:rPr>
      </w:pPr>
    </w:p>
    <w:p w:rsidR="00627704" w:rsidRPr="00627704" w:rsidRDefault="00627704" w:rsidP="00627704">
      <w:pPr>
        <w:pStyle w:val="Sinespaciado"/>
        <w:jc w:val="both"/>
        <w:rPr>
          <w:rFonts w:ascii="Times New Roman" w:hAnsi="Times New Roman" w:cs="Times New Roman"/>
          <w:sz w:val="24"/>
          <w:szCs w:val="24"/>
        </w:rPr>
      </w:pPr>
      <w:r w:rsidRPr="00627704">
        <w:rPr>
          <w:rFonts w:ascii="Times New Roman" w:hAnsi="Times New Roman" w:cs="Times New Roman"/>
          <w:sz w:val="24"/>
          <w:szCs w:val="24"/>
        </w:rPr>
        <w:t>En promedio se realizan mensualmente 30 actualizaciones, cambios, ajustes, publicaciones de información, boletines de prensa y entrevistas o artículos de medios de comunicación.</w:t>
      </w:r>
    </w:p>
    <w:p w:rsidR="00627704" w:rsidRPr="00627704" w:rsidRDefault="00627704" w:rsidP="00627704">
      <w:pPr>
        <w:pStyle w:val="Sinespaciado"/>
        <w:jc w:val="both"/>
        <w:rPr>
          <w:rFonts w:ascii="Times New Roman" w:hAnsi="Times New Roman" w:cs="Times New Roman"/>
          <w:sz w:val="24"/>
          <w:szCs w:val="24"/>
        </w:rPr>
      </w:pPr>
    </w:p>
    <w:p w:rsidR="00627704" w:rsidRPr="00627704" w:rsidRDefault="00627704" w:rsidP="00627704">
      <w:pPr>
        <w:pStyle w:val="Sinespaciado"/>
        <w:jc w:val="both"/>
        <w:rPr>
          <w:rFonts w:ascii="Times New Roman" w:hAnsi="Times New Roman" w:cs="Times New Roman"/>
          <w:sz w:val="24"/>
          <w:szCs w:val="24"/>
        </w:rPr>
      </w:pPr>
      <w:r w:rsidRPr="00627704">
        <w:rPr>
          <w:rFonts w:ascii="Times New Roman" w:hAnsi="Times New Roman" w:cs="Times New Roman"/>
          <w:sz w:val="24"/>
          <w:szCs w:val="24"/>
        </w:rPr>
        <w:t xml:space="preserve">Específicamente sobre </w:t>
      </w:r>
      <w:r>
        <w:rPr>
          <w:rFonts w:ascii="Times New Roman" w:hAnsi="Times New Roman" w:cs="Times New Roman"/>
          <w:sz w:val="24"/>
          <w:szCs w:val="24"/>
        </w:rPr>
        <w:t xml:space="preserve">Rendición de Cuentas, </w:t>
      </w:r>
      <w:r w:rsidR="00B8399E" w:rsidRPr="00627704">
        <w:rPr>
          <w:rFonts w:ascii="Times New Roman" w:hAnsi="Times New Roman" w:cs="Times New Roman"/>
          <w:sz w:val="24"/>
          <w:szCs w:val="24"/>
        </w:rPr>
        <w:t>el documento con la est</w:t>
      </w:r>
      <w:r w:rsidR="00B8399E">
        <w:rPr>
          <w:rFonts w:ascii="Times New Roman" w:hAnsi="Times New Roman" w:cs="Times New Roman"/>
          <w:sz w:val="24"/>
          <w:szCs w:val="24"/>
        </w:rPr>
        <w:t xml:space="preserve">rategia de Rendición de cuentas actualizada, </w:t>
      </w:r>
      <w:r>
        <w:rPr>
          <w:rFonts w:ascii="Times New Roman" w:hAnsi="Times New Roman" w:cs="Times New Roman"/>
          <w:sz w:val="24"/>
          <w:szCs w:val="24"/>
        </w:rPr>
        <w:t xml:space="preserve">los informes de gestión para los espacios de </w:t>
      </w:r>
      <w:r w:rsidR="00B8399E">
        <w:rPr>
          <w:rFonts w:ascii="Times New Roman" w:hAnsi="Times New Roman" w:cs="Times New Roman"/>
          <w:sz w:val="24"/>
          <w:szCs w:val="24"/>
        </w:rPr>
        <w:t>diálogo</w:t>
      </w:r>
      <w:r>
        <w:rPr>
          <w:rFonts w:ascii="Times New Roman" w:hAnsi="Times New Roman" w:cs="Times New Roman"/>
          <w:sz w:val="24"/>
          <w:szCs w:val="24"/>
        </w:rPr>
        <w:t xml:space="preserve"> sectorial y virtual</w:t>
      </w:r>
      <w:r w:rsidR="00B8399E">
        <w:rPr>
          <w:rFonts w:ascii="Times New Roman" w:hAnsi="Times New Roman" w:cs="Times New Roman"/>
          <w:sz w:val="24"/>
          <w:szCs w:val="24"/>
        </w:rPr>
        <w:t>, los formularios de consulta previa para la priorización temática de la Rendición de cuentas virtual, los documentos con la consolidación de las respuestas a las preguntas formuladas por los participantes de los espacios de diálogo y el informe de los resultados de las acciones de Rendición de Cuentas 2017.  En cumplimiento de la Ley 1712 de 2</w:t>
      </w:r>
      <w:r w:rsidR="00605AA3">
        <w:rPr>
          <w:rFonts w:ascii="Times New Roman" w:hAnsi="Times New Roman" w:cs="Times New Roman"/>
          <w:sz w:val="24"/>
          <w:szCs w:val="24"/>
        </w:rPr>
        <w:t>014, esta información se publicó</w:t>
      </w:r>
      <w:r w:rsidR="00B8399E">
        <w:rPr>
          <w:rFonts w:ascii="Times New Roman" w:hAnsi="Times New Roman" w:cs="Times New Roman"/>
          <w:sz w:val="24"/>
          <w:szCs w:val="24"/>
        </w:rPr>
        <w:t xml:space="preserve"> en el botón de transparencia del portal institucional.</w:t>
      </w:r>
    </w:p>
    <w:p w:rsidR="00A82DC2" w:rsidRDefault="00A82DC2" w:rsidP="00A82DC2">
      <w:pPr>
        <w:pStyle w:val="Sinespaciado"/>
        <w:jc w:val="both"/>
        <w:rPr>
          <w:rFonts w:ascii="Times New Roman" w:hAnsi="Times New Roman" w:cs="Times New Roman"/>
          <w:sz w:val="24"/>
          <w:szCs w:val="24"/>
        </w:rPr>
      </w:pPr>
    </w:p>
    <w:p w:rsidR="00A82DC2" w:rsidRPr="00502365" w:rsidRDefault="00A82DC2" w:rsidP="00A82DC2">
      <w:pPr>
        <w:pStyle w:val="Ttulo4"/>
        <w:rPr>
          <w:rFonts w:ascii="Times New Roman" w:hAnsi="Times New Roman"/>
        </w:rPr>
      </w:pPr>
      <w:r w:rsidRPr="00502365">
        <w:rPr>
          <w:rFonts w:ascii="Times New Roman" w:hAnsi="Times New Roman"/>
        </w:rPr>
        <w:t>Publicaciones en Redes Sociales:</w:t>
      </w:r>
    </w:p>
    <w:p w:rsidR="00A82DC2" w:rsidRDefault="00A82DC2" w:rsidP="00A82DC2">
      <w:pPr>
        <w:rPr>
          <w:lang w:val="es-CO"/>
        </w:rPr>
      </w:pPr>
    </w:p>
    <w:p w:rsidR="008E4725" w:rsidRPr="008E4725" w:rsidRDefault="008E4725" w:rsidP="008E4725">
      <w:pPr>
        <w:pStyle w:val="Sinespaciado"/>
        <w:jc w:val="both"/>
        <w:rPr>
          <w:rFonts w:ascii="Times New Roman" w:hAnsi="Times New Roman" w:cs="Times New Roman"/>
          <w:sz w:val="24"/>
          <w:szCs w:val="24"/>
        </w:rPr>
      </w:pPr>
      <w:r w:rsidRPr="008E4725">
        <w:rPr>
          <w:rFonts w:ascii="Times New Roman" w:hAnsi="Times New Roman" w:cs="Times New Roman"/>
          <w:sz w:val="24"/>
          <w:szCs w:val="24"/>
        </w:rPr>
        <w:t>En las cuentas en redes sociales de la entidad se informó durante el 2017 a la ciudadanía sobre los temas estratégicos de la estrategia de Rendición de Cuentas, a través de los siguientes hashtags: #HábitatRindeCuentas2017, #Habitarte y #ViviendoMejor</w:t>
      </w:r>
    </w:p>
    <w:p w:rsidR="008E4725" w:rsidRPr="008E4725" w:rsidRDefault="008E4725" w:rsidP="008E4725">
      <w:pPr>
        <w:pStyle w:val="Sinespaciado"/>
        <w:jc w:val="both"/>
        <w:rPr>
          <w:rFonts w:ascii="Times New Roman" w:hAnsi="Times New Roman" w:cs="Times New Roman"/>
          <w:sz w:val="24"/>
          <w:szCs w:val="24"/>
        </w:rPr>
      </w:pPr>
    </w:p>
    <w:p w:rsidR="008E4725" w:rsidRPr="008E4725" w:rsidRDefault="008E4725" w:rsidP="008E4725">
      <w:pPr>
        <w:pStyle w:val="Sinespaciado"/>
        <w:jc w:val="both"/>
        <w:rPr>
          <w:rFonts w:ascii="Times New Roman" w:hAnsi="Times New Roman" w:cs="Times New Roman"/>
          <w:sz w:val="24"/>
          <w:szCs w:val="24"/>
        </w:rPr>
      </w:pPr>
      <w:r w:rsidRPr="008E4725">
        <w:rPr>
          <w:rFonts w:ascii="Times New Roman" w:hAnsi="Times New Roman" w:cs="Times New Roman"/>
          <w:sz w:val="24"/>
          <w:szCs w:val="24"/>
        </w:rPr>
        <w:t>En promedio, se realizaron dos publicacion</w:t>
      </w:r>
      <w:r w:rsidR="00784F6E">
        <w:rPr>
          <w:rFonts w:ascii="Times New Roman" w:hAnsi="Times New Roman" w:cs="Times New Roman"/>
          <w:sz w:val="24"/>
          <w:szCs w:val="24"/>
        </w:rPr>
        <w:t>es en twitter y una en Facebook diariamente.</w:t>
      </w:r>
    </w:p>
    <w:p w:rsidR="00605AA3" w:rsidRDefault="00605AA3" w:rsidP="008E4725">
      <w:pPr>
        <w:pStyle w:val="Sinespaciado"/>
        <w:jc w:val="center"/>
        <w:rPr>
          <w:rFonts w:ascii="Arial" w:hAnsi="Arial" w:cs="Arial"/>
          <w:sz w:val="24"/>
          <w:szCs w:val="24"/>
        </w:rPr>
      </w:pPr>
    </w:p>
    <w:p w:rsidR="00605AA3" w:rsidRDefault="00605AA3" w:rsidP="008E4725">
      <w:pPr>
        <w:pStyle w:val="Sinespaciado"/>
        <w:jc w:val="center"/>
        <w:rPr>
          <w:rFonts w:ascii="Arial" w:hAnsi="Arial" w:cs="Arial"/>
          <w:sz w:val="24"/>
          <w:szCs w:val="24"/>
        </w:rPr>
      </w:pPr>
      <w:r>
        <w:rPr>
          <w:noProof/>
        </w:rPr>
        <w:drawing>
          <wp:inline distT="0" distB="0" distL="0" distR="0">
            <wp:extent cx="4240530" cy="3241430"/>
            <wp:effectExtent l="0" t="0" r="7620" b="0"/>
            <wp:docPr id="13" name="Imagen 13" descr="C:\Users\cguerrerop\AppData\Local\Microsoft\Windows\INetCache\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uerrerop\AppData\Local\Microsoft\Windows\INetCache\Content.Word\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6463" cy="3284185"/>
                    </a:xfrm>
                    <a:prstGeom prst="rect">
                      <a:avLst/>
                    </a:prstGeom>
                    <a:noFill/>
                    <a:ln>
                      <a:noFill/>
                    </a:ln>
                  </pic:spPr>
                </pic:pic>
              </a:graphicData>
            </a:graphic>
          </wp:inline>
        </w:drawing>
      </w:r>
    </w:p>
    <w:p w:rsidR="00285DB5" w:rsidRPr="0007116B" w:rsidRDefault="00285DB5" w:rsidP="00285DB5">
      <w:pPr>
        <w:pStyle w:val="Ttulo5"/>
        <w:jc w:val="center"/>
        <w:rPr>
          <w:rFonts w:eastAsiaTheme="minorHAnsi"/>
          <w:sz w:val="20"/>
          <w:lang w:val="es-CO" w:eastAsia="en-US"/>
        </w:rPr>
      </w:pPr>
      <w:r w:rsidRPr="0007116B">
        <w:rPr>
          <w:rFonts w:eastAsiaTheme="minorHAnsi"/>
          <w:sz w:val="20"/>
          <w:lang w:val="es-CO" w:eastAsia="en-US"/>
        </w:rPr>
        <w:t xml:space="preserve">Imagen </w:t>
      </w:r>
      <w:r w:rsidR="00703C3B" w:rsidRPr="0007116B">
        <w:rPr>
          <w:rFonts w:eastAsiaTheme="minorHAnsi"/>
          <w:sz w:val="20"/>
          <w:lang w:val="es-CO" w:eastAsia="en-US"/>
        </w:rPr>
        <w:t>3</w:t>
      </w:r>
      <w:r w:rsidRPr="0007116B">
        <w:rPr>
          <w:rFonts w:eastAsiaTheme="minorHAnsi"/>
          <w:sz w:val="20"/>
          <w:lang w:val="es-CO" w:eastAsia="en-US"/>
        </w:rPr>
        <w:t xml:space="preserve"> - Publicación en Redes Sociales</w:t>
      </w:r>
    </w:p>
    <w:p w:rsidR="00285DB5" w:rsidRPr="00703C3B" w:rsidRDefault="00285DB5" w:rsidP="008E4725">
      <w:pPr>
        <w:pStyle w:val="Sinespaciado"/>
        <w:jc w:val="center"/>
        <w:rPr>
          <w:rFonts w:ascii="Arial" w:hAnsi="Arial" w:cs="Arial"/>
          <w:sz w:val="20"/>
          <w:szCs w:val="20"/>
        </w:rPr>
      </w:pPr>
    </w:p>
    <w:p w:rsidR="008E4725" w:rsidRPr="008E4725" w:rsidRDefault="008E4725" w:rsidP="008E4725">
      <w:pPr>
        <w:pStyle w:val="Ttulo4"/>
        <w:rPr>
          <w:rFonts w:ascii="Times New Roman" w:eastAsiaTheme="minorHAnsi" w:hAnsi="Times New Roman"/>
          <w:b w:val="0"/>
          <w:szCs w:val="24"/>
          <w:lang w:val="es-CO" w:eastAsia="en-US"/>
        </w:rPr>
      </w:pPr>
    </w:p>
    <w:p w:rsidR="008E4725" w:rsidRDefault="00F5541A" w:rsidP="00784F6E">
      <w:pPr>
        <w:jc w:val="center"/>
      </w:pPr>
      <w:r>
        <w:rPr>
          <w:noProof/>
        </w:rPr>
        <w:drawing>
          <wp:inline distT="0" distB="0" distL="0" distR="0">
            <wp:extent cx="3372485" cy="2720975"/>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2485" cy="2720975"/>
                    </a:xfrm>
                    <a:prstGeom prst="rect">
                      <a:avLst/>
                    </a:prstGeom>
                    <a:noFill/>
                    <a:ln>
                      <a:noFill/>
                    </a:ln>
                  </pic:spPr>
                </pic:pic>
              </a:graphicData>
            </a:graphic>
          </wp:inline>
        </w:drawing>
      </w:r>
    </w:p>
    <w:p w:rsidR="00285DB5" w:rsidRPr="0007116B" w:rsidRDefault="00285DB5" w:rsidP="00285DB5">
      <w:pPr>
        <w:pStyle w:val="Ttulo5"/>
        <w:jc w:val="center"/>
        <w:rPr>
          <w:rFonts w:eastAsiaTheme="minorHAnsi"/>
          <w:sz w:val="20"/>
          <w:lang w:val="es-CO" w:eastAsia="en-US"/>
        </w:rPr>
      </w:pPr>
      <w:r w:rsidRPr="0007116B">
        <w:rPr>
          <w:rFonts w:eastAsiaTheme="minorHAnsi"/>
          <w:sz w:val="20"/>
          <w:lang w:val="es-CO" w:eastAsia="en-US"/>
        </w:rPr>
        <w:t xml:space="preserve">Imagen </w:t>
      </w:r>
      <w:r w:rsidR="00703C3B" w:rsidRPr="0007116B">
        <w:rPr>
          <w:rFonts w:eastAsiaTheme="minorHAnsi"/>
          <w:sz w:val="20"/>
          <w:lang w:val="es-CO" w:eastAsia="en-US"/>
        </w:rPr>
        <w:t>4</w:t>
      </w:r>
      <w:r w:rsidRPr="0007116B">
        <w:rPr>
          <w:rFonts w:eastAsiaTheme="minorHAnsi"/>
          <w:sz w:val="20"/>
          <w:lang w:val="es-CO" w:eastAsia="en-US"/>
        </w:rPr>
        <w:t xml:space="preserve"> - Publicación en Redes Sociales</w:t>
      </w:r>
    </w:p>
    <w:p w:rsidR="00605AA3" w:rsidRDefault="00605AA3" w:rsidP="008E4725"/>
    <w:p w:rsidR="00605AA3" w:rsidRDefault="00605AA3" w:rsidP="008E4725"/>
    <w:p w:rsidR="00536809" w:rsidRPr="00536809" w:rsidRDefault="00536809" w:rsidP="00536809">
      <w:pPr>
        <w:pStyle w:val="Ttulo4"/>
        <w:rPr>
          <w:rFonts w:ascii="Times New Roman" w:hAnsi="Times New Roman"/>
        </w:rPr>
      </w:pPr>
      <w:r w:rsidRPr="00536809">
        <w:rPr>
          <w:rFonts w:ascii="Times New Roman" w:hAnsi="Times New Roman"/>
        </w:rPr>
        <w:t xml:space="preserve">Free press: </w:t>
      </w:r>
    </w:p>
    <w:p w:rsidR="00536809" w:rsidRPr="00D9304D" w:rsidRDefault="00536809" w:rsidP="00536809"/>
    <w:p w:rsidR="00536809" w:rsidRPr="00536809" w:rsidRDefault="00536809" w:rsidP="00536809">
      <w:pPr>
        <w:jc w:val="both"/>
        <w:rPr>
          <w:rFonts w:eastAsiaTheme="minorHAnsi"/>
          <w:sz w:val="24"/>
          <w:szCs w:val="24"/>
          <w:lang w:val="es-CO" w:eastAsia="en-US"/>
        </w:rPr>
      </w:pPr>
      <w:r w:rsidRPr="00536809">
        <w:rPr>
          <w:rFonts w:eastAsiaTheme="minorHAnsi"/>
          <w:sz w:val="24"/>
          <w:szCs w:val="24"/>
          <w:lang w:val="es-CO" w:eastAsia="en-US"/>
        </w:rPr>
        <w:t xml:space="preserve">La Oficina Asesora de Comunicaciones es la responsable de mantener y velar por las buenas relaciones con los medios de comunicación de la ciudad, a partir de ello, cada vez que surge una noticia o información que resulta importante para divulgar por parte de la entidad, se recurre al contacto directo con los periodistas para persuadirlos con el cubrimiento periodístico. Una vez se logra registrar la información en los medios de comunicación, se destaca el ‘free press’ en favor de la entidad y la ciudadanía interesada. </w:t>
      </w:r>
    </w:p>
    <w:p w:rsidR="00536809" w:rsidRPr="00536809" w:rsidRDefault="00536809" w:rsidP="00536809">
      <w:pPr>
        <w:rPr>
          <w:rFonts w:eastAsiaTheme="minorHAnsi"/>
          <w:sz w:val="24"/>
          <w:szCs w:val="24"/>
          <w:lang w:val="es-CO" w:eastAsia="en-US"/>
        </w:rPr>
      </w:pPr>
    </w:p>
    <w:p w:rsidR="00536809" w:rsidRPr="00536809" w:rsidRDefault="00D00F55" w:rsidP="00536809">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Con este recurso en particular, se informó </w:t>
      </w:r>
      <w:r w:rsidR="00536809" w:rsidRPr="00536809">
        <w:rPr>
          <w:rFonts w:ascii="Times New Roman" w:hAnsi="Times New Roman" w:cs="Times New Roman"/>
          <w:sz w:val="24"/>
          <w:szCs w:val="24"/>
        </w:rPr>
        <w:t>a través de los medios de comunicación radiales, televisivos, impresos y virtuales, de orden comunitario, distrital y nacional, sobre las 80 mil soluciones de vivienda para los bogotanos, el mejoramiento integral de barrios, la prevención al momento de escoger una vivienda, la existencia de barrios ilegales y los servicios públicos eficientes.</w:t>
      </w:r>
    </w:p>
    <w:p w:rsidR="00536809" w:rsidRPr="00536809" w:rsidRDefault="00536809" w:rsidP="00536809">
      <w:pPr>
        <w:pStyle w:val="Sinespaciado"/>
        <w:jc w:val="both"/>
        <w:rPr>
          <w:rFonts w:ascii="Times New Roman" w:hAnsi="Times New Roman" w:cs="Times New Roman"/>
          <w:sz w:val="24"/>
          <w:szCs w:val="24"/>
        </w:rPr>
      </w:pPr>
    </w:p>
    <w:p w:rsidR="00536809" w:rsidRPr="00536809" w:rsidRDefault="00536809" w:rsidP="00536809">
      <w:pPr>
        <w:rPr>
          <w:rFonts w:eastAsiaTheme="minorHAnsi"/>
          <w:sz w:val="24"/>
          <w:szCs w:val="24"/>
          <w:lang w:val="es-CO" w:eastAsia="en-US"/>
        </w:rPr>
      </w:pPr>
      <w:r>
        <w:rPr>
          <w:rFonts w:eastAsiaTheme="minorHAnsi"/>
          <w:sz w:val="24"/>
          <w:szCs w:val="24"/>
          <w:lang w:val="es-CO" w:eastAsia="en-US"/>
        </w:rPr>
        <w:t xml:space="preserve">Enlace a la </w:t>
      </w:r>
      <w:r w:rsidRPr="00536809">
        <w:rPr>
          <w:rFonts w:eastAsiaTheme="minorHAnsi"/>
          <w:sz w:val="24"/>
          <w:szCs w:val="24"/>
          <w:lang w:val="es-CO" w:eastAsia="en-US"/>
        </w:rPr>
        <w:t xml:space="preserve">noticia: </w:t>
      </w:r>
      <w:hyperlink r:id="rId11" w:history="1">
        <w:r w:rsidRPr="00536809">
          <w:rPr>
            <w:rFonts w:eastAsiaTheme="minorHAnsi"/>
            <w:lang w:val="es-CO" w:eastAsia="en-US"/>
          </w:rPr>
          <w:t>http://</w:t>
        </w:r>
      </w:hyperlink>
      <w:hyperlink r:id="rId12" w:history="1">
        <w:r w:rsidRPr="00536809">
          <w:rPr>
            <w:rFonts w:eastAsiaTheme="minorHAnsi"/>
            <w:lang w:val="es-CO" w:eastAsia="en-US"/>
          </w:rPr>
          <w:t>bit.ly/2jC8lvS</w:t>
        </w:r>
      </w:hyperlink>
      <w:r w:rsidRPr="00536809">
        <w:rPr>
          <w:rFonts w:eastAsiaTheme="minorHAnsi"/>
          <w:sz w:val="24"/>
          <w:szCs w:val="24"/>
          <w:lang w:val="es-CO" w:eastAsia="en-US"/>
        </w:rPr>
        <w:t xml:space="preserve"> </w:t>
      </w:r>
    </w:p>
    <w:p w:rsidR="00536809" w:rsidRPr="00536809" w:rsidRDefault="00536809" w:rsidP="00536809">
      <w:pPr>
        <w:rPr>
          <w:rFonts w:eastAsiaTheme="minorHAnsi"/>
          <w:sz w:val="24"/>
          <w:szCs w:val="24"/>
          <w:lang w:val="es-CO" w:eastAsia="en-US"/>
        </w:rPr>
      </w:pPr>
    </w:p>
    <w:p w:rsidR="00536809" w:rsidRDefault="00536809" w:rsidP="00536809">
      <w:pPr>
        <w:pStyle w:val="Sinespaciado"/>
        <w:jc w:val="center"/>
        <w:rPr>
          <w:rFonts w:ascii="Arial" w:hAnsi="Arial" w:cs="Arial"/>
          <w:sz w:val="24"/>
          <w:szCs w:val="24"/>
        </w:rPr>
      </w:pPr>
      <w:r>
        <w:rPr>
          <w:noProof/>
        </w:rPr>
        <w:lastRenderedPageBreak/>
        <w:drawing>
          <wp:inline distT="0" distB="0" distL="0" distR="0" wp14:anchorId="300C6ADB" wp14:editId="676C14BE">
            <wp:extent cx="2914650" cy="2183812"/>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53" t="8751" r="14290" b="15510"/>
                    <a:stretch/>
                  </pic:blipFill>
                  <pic:spPr bwMode="auto">
                    <a:xfrm>
                      <a:off x="0" y="0"/>
                      <a:ext cx="2916548" cy="2185234"/>
                    </a:xfrm>
                    <a:prstGeom prst="rect">
                      <a:avLst/>
                    </a:prstGeom>
                    <a:ln>
                      <a:noFill/>
                    </a:ln>
                    <a:extLst>
                      <a:ext uri="{53640926-AAD7-44D8-BBD7-CCE9431645EC}">
                        <a14:shadowObscured xmlns:a14="http://schemas.microsoft.com/office/drawing/2010/main"/>
                      </a:ext>
                    </a:extLst>
                  </pic:spPr>
                </pic:pic>
              </a:graphicData>
            </a:graphic>
          </wp:inline>
        </w:drawing>
      </w:r>
    </w:p>
    <w:p w:rsidR="00536809" w:rsidRDefault="00536809" w:rsidP="00536809">
      <w:pPr>
        <w:pStyle w:val="Sinespaciado"/>
        <w:jc w:val="both"/>
        <w:rPr>
          <w:rFonts w:ascii="Arial" w:hAnsi="Arial" w:cs="Arial"/>
          <w:sz w:val="24"/>
          <w:szCs w:val="24"/>
        </w:rPr>
      </w:pPr>
    </w:p>
    <w:p w:rsidR="00536809" w:rsidRPr="0007116B" w:rsidRDefault="00536809" w:rsidP="00536809">
      <w:pPr>
        <w:pStyle w:val="Ttulo5"/>
        <w:jc w:val="center"/>
        <w:rPr>
          <w:rFonts w:eastAsiaTheme="minorHAnsi"/>
          <w:sz w:val="20"/>
          <w:lang w:val="es-CO" w:eastAsia="en-US"/>
        </w:rPr>
      </w:pPr>
      <w:r w:rsidRPr="0007116B">
        <w:rPr>
          <w:rFonts w:eastAsiaTheme="minorHAnsi"/>
          <w:sz w:val="20"/>
          <w:lang w:val="es-CO" w:eastAsia="en-US"/>
        </w:rPr>
        <w:t xml:space="preserve">Imagen </w:t>
      </w:r>
      <w:r w:rsidR="00703C3B" w:rsidRPr="0007116B">
        <w:rPr>
          <w:rFonts w:eastAsiaTheme="minorHAnsi"/>
          <w:sz w:val="20"/>
          <w:lang w:val="es-CO" w:eastAsia="en-US"/>
        </w:rPr>
        <w:t>5</w:t>
      </w:r>
      <w:r w:rsidRPr="0007116B">
        <w:rPr>
          <w:rFonts w:eastAsiaTheme="minorHAnsi"/>
          <w:sz w:val="20"/>
          <w:lang w:val="es-CO" w:eastAsia="en-US"/>
        </w:rPr>
        <w:t xml:space="preserve"> - Publicación en medios de comunicación</w:t>
      </w:r>
    </w:p>
    <w:p w:rsidR="00536809" w:rsidRPr="00AE3BA6" w:rsidRDefault="00536809" w:rsidP="00536809">
      <w:pPr>
        <w:pStyle w:val="Sinespaciado"/>
        <w:jc w:val="both"/>
        <w:rPr>
          <w:rFonts w:ascii="Arial" w:hAnsi="Arial" w:cs="Arial"/>
          <w:sz w:val="24"/>
          <w:szCs w:val="24"/>
        </w:rPr>
      </w:pPr>
    </w:p>
    <w:p w:rsidR="00536809" w:rsidRDefault="00536809" w:rsidP="00536809"/>
    <w:p w:rsidR="00536809" w:rsidRDefault="00536809" w:rsidP="00536809"/>
    <w:p w:rsidR="00536809" w:rsidRDefault="00536809" w:rsidP="00536809">
      <w:pPr>
        <w:rPr>
          <w:b/>
          <w:sz w:val="24"/>
        </w:rPr>
      </w:pPr>
      <w:r w:rsidRPr="00D00F55">
        <w:rPr>
          <w:b/>
          <w:sz w:val="24"/>
        </w:rPr>
        <w:t>Pantallas:</w:t>
      </w:r>
    </w:p>
    <w:p w:rsidR="00D00F55" w:rsidRPr="00D00F55" w:rsidRDefault="00D00F55" w:rsidP="00536809">
      <w:pPr>
        <w:rPr>
          <w:b/>
          <w:sz w:val="24"/>
        </w:rPr>
      </w:pPr>
    </w:p>
    <w:p w:rsidR="00536809" w:rsidRPr="00D00F55" w:rsidRDefault="00536809" w:rsidP="00536809">
      <w:pPr>
        <w:jc w:val="both"/>
        <w:rPr>
          <w:rFonts w:eastAsiaTheme="minorHAnsi"/>
          <w:sz w:val="24"/>
          <w:szCs w:val="24"/>
          <w:lang w:val="es-CO" w:eastAsia="en-US"/>
        </w:rPr>
      </w:pPr>
      <w:r w:rsidRPr="00D00F55">
        <w:rPr>
          <w:rFonts w:eastAsiaTheme="minorHAnsi"/>
          <w:sz w:val="24"/>
          <w:szCs w:val="24"/>
          <w:lang w:val="es-CO" w:eastAsia="en-US"/>
        </w:rPr>
        <w:t xml:space="preserve">En las pantallas que se encuentran en las instalaciones de la Secretaría Distrital del Hábitat, se proyectan las campañas internas. </w:t>
      </w:r>
      <w:r w:rsidR="00D00F55">
        <w:rPr>
          <w:rFonts w:eastAsiaTheme="minorHAnsi"/>
          <w:sz w:val="24"/>
          <w:szCs w:val="24"/>
          <w:lang w:val="es-CO" w:eastAsia="en-US"/>
        </w:rPr>
        <w:t>A través de este medio</w:t>
      </w:r>
      <w:r w:rsidRPr="00D00F55">
        <w:rPr>
          <w:rFonts w:eastAsiaTheme="minorHAnsi"/>
          <w:sz w:val="24"/>
          <w:szCs w:val="24"/>
          <w:lang w:val="es-CO" w:eastAsia="en-US"/>
        </w:rPr>
        <w:t xml:space="preserve"> los </w:t>
      </w:r>
      <w:r w:rsidR="00D00F55">
        <w:rPr>
          <w:rFonts w:eastAsiaTheme="minorHAnsi"/>
          <w:sz w:val="24"/>
          <w:szCs w:val="24"/>
          <w:lang w:val="es-CO" w:eastAsia="en-US"/>
        </w:rPr>
        <w:t>servidores de la entidad cuentan con un canal de acceso a la información que difunde temas de interés para el equipo de colaboradores y promueve la participación de los mismos en las acciones que adelanta la Secretaría en cada una de sus intervenciones.</w:t>
      </w:r>
    </w:p>
    <w:p w:rsidR="00536809" w:rsidRPr="00D00F55" w:rsidRDefault="00536809" w:rsidP="00536809">
      <w:pPr>
        <w:jc w:val="both"/>
        <w:rPr>
          <w:rFonts w:eastAsiaTheme="minorHAnsi"/>
          <w:sz w:val="24"/>
          <w:szCs w:val="24"/>
          <w:lang w:val="es-CO" w:eastAsia="en-US"/>
        </w:rPr>
      </w:pPr>
    </w:p>
    <w:p w:rsidR="00536809" w:rsidRPr="00D00F55" w:rsidRDefault="00536809" w:rsidP="00536809">
      <w:pPr>
        <w:jc w:val="both"/>
        <w:rPr>
          <w:rFonts w:eastAsiaTheme="minorHAnsi"/>
          <w:sz w:val="24"/>
          <w:szCs w:val="24"/>
          <w:lang w:val="es-CO" w:eastAsia="en-US"/>
        </w:rPr>
      </w:pPr>
      <w:r w:rsidRPr="00D00F55">
        <w:rPr>
          <w:rFonts w:eastAsiaTheme="minorHAnsi"/>
          <w:sz w:val="24"/>
          <w:szCs w:val="24"/>
          <w:lang w:val="es-CO" w:eastAsia="en-US"/>
        </w:rPr>
        <w:t xml:space="preserve">En promedio, se publicaban entre 5 y 10 fondos de pantalla mensuales. La cantidad </w:t>
      </w:r>
      <w:r w:rsidR="00D00F55">
        <w:rPr>
          <w:rFonts w:eastAsiaTheme="minorHAnsi"/>
          <w:sz w:val="24"/>
          <w:szCs w:val="24"/>
          <w:lang w:val="es-CO" w:eastAsia="en-US"/>
        </w:rPr>
        <w:t>presenta una variación mensual dependiendo del</w:t>
      </w:r>
      <w:r w:rsidRPr="00D00F55">
        <w:rPr>
          <w:rFonts w:eastAsiaTheme="minorHAnsi"/>
          <w:sz w:val="24"/>
          <w:szCs w:val="24"/>
          <w:lang w:val="es-CO" w:eastAsia="en-US"/>
        </w:rPr>
        <w:t xml:space="preserve"> número de campañas programadas </w:t>
      </w:r>
      <w:r w:rsidR="00D00F55">
        <w:rPr>
          <w:rFonts w:eastAsiaTheme="minorHAnsi"/>
          <w:sz w:val="24"/>
          <w:szCs w:val="24"/>
          <w:lang w:val="es-CO" w:eastAsia="en-US"/>
        </w:rPr>
        <w:t xml:space="preserve">en </w:t>
      </w:r>
      <w:r w:rsidRPr="00D00F55">
        <w:rPr>
          <w:rFonts w:eastAsiaTheme="minorHAnsi"/>
          <w:sz w:val="24"/>
          <w:szCs w:val="24"/>
          <w:lang w:val="es-CO" w:eastAsia="en-US"/>
        </w:rPr>
        <w:t>cada mes.</w:t>
      </w:r>
    </w:p>
    <w:p w:rsidR="00536809" w:rsidRDefault="00536809" w:rsidP="00536809">
      <w:pPr>
        <w:rPr>
          <w:rFonts w:ascii="Arial" w:hAnsi="Arial" w:cs="Arial"/>
          <w:b/>
          <w:sz w:val="24"/>
          <w:szCs w:val="24"/>
        </w:rPr>
      </w:pPr>
    </w:p>
    <w:p w:rsidR="00703C3B" w:rsidRDefault="00613757" w:rsidP="00703C3B">
      <w:pPr>
        <w:jc w:val="center"/>
      </w:pPr>
      <w:r>
        <w:rPr>
          <w:rFonts w:ascii="Arial" w:hAnsi="Arial" w:cs="Arial"/>
          <w:b/>
          <w:noProof/>
          <w:sz w:val="24"/>
          <w:szCs w:val="24"/>
        </w:rPr>
        <w:drawing>
          <wp:inline distT="0" distB="0" distL="0" distR="0" wp14:anchorId="74213AB1" wp14:editId="39D5852D">
            <wp:extent cx="3495159" cy="24574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rendicion de cuentas-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0174" cy="2587534"/>
                    </a:xfrm>
                    <a:prstGeom prst="rect">
                      <a:avLst/>
                    </a:prstGeom>
                  </pic:spPr>
                </pic:pic>
              </a:graphicData>
            </a:graphic>
          </wp:inline>
        </w:drawing>
      </w:r>
    </w:p>
    <w:p w:rsidR="00536809" w:rsidRPr="0007116B" w:rsidRDefault="00703C3B" w:rsidP="00703C3B">
      <w:pPr>
        <w:jc w:val="center"/>
        <w:rPr>
          <w:b/>
        </w:rPr>
      </w:pPr>
      <w:r w:rsidRPr="0007116B">
        <w:rPr>
          <w:b/>
        </w:rPr>
        <w:t>Imagen 6</w:t>
      </w:r>
      <w:r w:rsidR="00536809" w:rsidRPr="0007116B">
        <w:rPr>
          <w:b/>
        </w:rPr>
        <w:t xml:space="preserve"> – Fondo de pantalla</w:t>
      </w:r>
    </w:p>
    <w:p w:rsidR="00A82DC2" w:rsidRPr="009F6BAF" w:rsidRDefault="00A82DC2" w:rsidP="00A82DC2">
      <w:pPr>
        <w:pStyle w:val="Ttulo3"/>
        <w:rPr>
          <w:rFonts w:ascii="Times New Roman" w:hAnsi="Times New Roman"/>
          <w:b/>
          <w:lang w:val="es-CO"/>
        </w:rPr>
      </w:pPr>
      <w:bookmarkStart w:id="7" w:name="_Toc504666511"/>
      <w:r w:rsidRPr="009F6BAF">
        <w:rPr>
          <w:rFonts w:ascii="Times New Roman" w:hAnsi="Times New Roman"/>
          <w:b/>
          <w:lang w:val="es-CO"/>
        </w:rPr>
        <w:lastRenderedPageBreak/>
        <w:t xml:space="preserve">Acciones </w:t>
      </w:r>
      <w:r w:rsidR="00F479EC">
        <w:rPr>
          <w:rFonts w:ascii="Times New Roman" w:hAnsi="Times New Roman"/>
          <w:b/>
          <w:lang w:val="es-CO"/>
        </w:rPr>
        <w:t>c</w:t>
      </w:r>
      <w:r w:rsidRPr="009F6BAF">
        <w:rPr>
          <w:rFonts w:ascii="Times New Roman" w:hAnsi="Times New Roman"/>
          <w:b/>
          <w:lang w:val="es-CO"/>
        </w:rPr>
        <w:t xml:space="preserve">omponente de </w:t>
      </w:r>
      <w:r>
        <w:rPr>
          <w:rFonts w:ascii="Times New Roman" w:hAnsi="Times New Roman"/>
          <w:b/>
          <w:lang w:val="es-CO"/>
        </w:rPr>
        <w:t>Diálogo</w:t>
      </w:r>
      <w:bookmarkEnd w:id="7"/>
    </w:p>
    <w:p w:rsidR="00A82DC2" w:rsidRDefault="00A82DC2" w:rsidP="00A82DC2"/>
    <w:p w:rsidR="00A82DC2" w:rsidRDefault="00F479EC" w:rsidP="00F479EC">
      <w:pPr>
        <w:jc w:val="both"/>
        <w:rPr>
          <w:rFonts w:eastAsiaTheme="minorHAnsi"/>
          <w:sz w:val="24"/>
          <w:szCs w:val="24"/>
          <w:lang w:val="es-CO" w:eastAsia="en-US"/>
        </w:rPr>
      </w:pPr>
      <w:r w:rsidRPr="00F479EC">
        <w:rPr>
          <w:rFonts w:eastAsiaTheme="minorHAnsi"/>
          <w:sz w:val="24"/>
          <w:szCs w:val="24"/>
          <w:lang w:val="es-CO" w:eastAsia="en-US"/>
        </w:rPr>
        <w:t xml:space="preserve">Como garante del derecho al control social </w:t>
      </w:r>
      <w:r>
        <w:rPr>
          <w:rFonts w:eastAsiaTheme="minorHAnsi"/>
          <w:sz w:val="24"/>
          <w:szCs w:val="24"/>
          <w:lang w:val="es-CO" w:eastAsia="en-US"/>
        </w:rPr>
        <w:t>en la gestión pública, la entidad promueve espacios presenciales y virtuales de diálogo con los usuarios y grupos de interés</w:t>
      </w:r>
      <w:r w:rsidR="00784F6E">
        <w:rPr>
          <w:rFonts w:eastAsiaTheme="minorHAnsi"/>
          <w:sz w:val="24"/>
          <w:szCs w:val="24"/>
          <w:lang w:val="es-CO" w:eastAsia="en-US"/>
        </w:rPr>
        <w:t xml:space="preserve"> como parte de las acciones de gobierno abierto</w:t>
      </w:r>
      <w:r>
        <w:rPr>
          <w:rFonts w:eastAsiaTheme="minorHAnsi"/>
          <w:sz w:val="24"/>
          <w:szCs w:val="24"/>
          <w:lang w:val="es-CO" w:eastAsia="en-US"/>
        </w:rPr>
        <w:t xml:space="preserve">. En este </w:t>
      </w:r>
      <w:r w:rsidR="004676B8">
        <w:rPr>
          <w:rFonts w:eastAsiaTheme="minorHAnsi"/>
          <w:sz w:val="24"/>
          <w:szCs w:val="24"/>
          <w:lang w:val="es-CO" w:eastAsia="en-US"/>
        </w:rPr>
        <w:t xml:space="preserve">componente </w:t>
      </w:r>
      <w:r>
        <w:rPr>
          <w:rFonts w:eastAsiaTheme="minorHAnsi"/>
          <w:sz w:val="24"/>
          <w:szCs w:val="24"/>
          <w:lang w:val="es-CO" w:eastAsia="en-US"/>
        </w:rPr>
        <w:t xml:space="preserve">se realizaron </w:t>
      </w:r>
      <w:r w:rsidR="00535EF2">
        <w:rPr>
          <w:rFonts w:eastAsiaTheme="minorHAnsi"/>
          <w:sz w:val="24"/>
          <w:szCs w:val="24"/>
          <w:lang w:val="es-CO" w:eastAsia="en-US"/>
        </w:rPr>
        <w:t>los siguientes espacios:</w:t>
      </w:r>
    </w:p>
    <w:p w:rsidR="00F479EC" w:rsidRDefault="00F479EC" w:rsidP="00A82DC2">
      <w:pPr>
        <w:rPr>
          <w:rFonts w:eastAsiaTheme="minorHAnsi"/>
          <w:sz w:val="24"/>
          <w:szCs w:val="24"/>
          <w:lang w:val="es-CO" w:eastAsia="en-US"/>
        </w:rPr>
      </w:pPr>
    </w:p>
    <w:p w:rsidR="00A82DC2" w:rsidRDefault="00A82DC2" w:rsidP="00A82DC2">
      <w:pPr>
        <w:pStyle w:val="Ttulo4"/>
        <w:rPr>
          <w:rFonts w:ascii="Times New Roman" w:hAnsi="Times New Roman"/>
        </w:rPr>
      </w:pPr>
      <w:r w:rsidRPr="00D1780B">
        <w:rPr>
          <w:rFonts w:ascii="Times New Roman" w:hAnsi="Times New Roman"/>
        </w:rPr>
        <w:t>Reuniones en localidades:</w:t>
      </w:r>
    </w:p>
    <w:p w:rsidR="00A82DC2" w:rsidRDefault="00A82DC2" w:rsidP="00A82DC2"/>
    <w:p w:rsidR="00871579" w:rsidRPr="00BD17D6" w:rsidRDefault="00871579" w:rsidP="00871579">
      <w:pPr>
        <w:pStyle w:val="Sinespaciado"/>
        <w:jc w:val="both"/>
        <w:rPr>
          <w:rFonts w:ascii="Times New Roman" w:hAnsi="Times New Roman" w:cs="Times New Roman"/>
          <w:sz w:val="24"/>
          <w:szCs w:val="24"/>
        </w:rPr>
      </w:pPr>
      <w:r w:rsidRPr="00BD17D6">
        <w:rPr>
          <w:rFonts w:ascii="Times New Roman" w:hAnsi="Times New Roman" w:cs="Times New Roman"/>
          <w:sz w:val="24"/>
          <w:szCs w:val="24"/>
        </w:rPr>
        <w:t>La Secretaría Distrital del Hábitat, adelantó espacios de encuentro presencial con la ciudadanía, donde se desarrollaban reuniones con los grupos de interés para proporcionarles información sobre el mejoramiento integral de sus barrios. En promedio, se realizaban 2 encuentros semanales.</w:t>
      </w:r>
    </w:p>
    <w:p w:rsidR="00871579" w:rsidRPr="00AE3BA6" w:rsidRDefault="00871579" w:rsidP="00871579">
      <w:pPr>
        <w:pStyle w:val="Sinespaciado"/>
        <w:jc w:val="both"/>
        <w:rPr>
          <w:rFonts w:ascii="Arial" w:hAnsi="Arial" w:cs="Arial"/>
          <w:sz w:val="24"/>
          <w:szCs w:val="24"/>
        </w:rPr>
      </w:pPr>
    </w:p>
    <w:p w:rsidR="00871579" w:rsidRPr="00AE3BA6" w:rsidRDefault="00871579" w:rsidP="00871579">
      <w:pPr>
        <w:pStyle w:val="Sinespaciado"/>
        <w:jc w:val="both"/>
        <w:rPr>
          <w:rFonts w:ascii="Arial" w:hAnsi="Arial" w:cs="Arial"/>
          <w:sz w:val="24"/>
          <w:szCs w:val="24"/>
        </w:rPr>
      </w:pPr>
    </w:p>
    <w:p w:rsidR="00871579" w:rsidRPr="00AE3BA6" w:rsidRDefault="00871579" w:rsidP="00871579">
      <w:pPr>
        <w:pStyle w:val="Sinespaciado"/>
        <w:jc w:val="center"/>
        <w:rPr>
          <w:rFonts w:ascii="Arial" w:hAnsi="Arial" w:cs="Arial"/>
          <w:sz w:val="24"/>
          <w:szCs w:val="24"/>
        </w:rPr>
      </w:pPr>
      <w:r>
        <w:rPr>
          <w:noProof/>
        </w:rPr>
        <w:drawing>
          <wp:inline distT="0" distB="0" distL="0" distR="0" wp14:anchorId="370EF528" wp14:editId="53DFD1F4">
            <wp:extent cx="4410075" cy="2480979"/>
            <wp:effectExtent l="0" t="0" r="0" b="0"/>
            <wp:docPr id="28" name="Imagen 28" descr="C:\Users\mgomezg\AppData\Local\Microsoft\Windows\INetCache\Content.Word\DSC05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mezg\AppData\Local\Microsoft\Windows\INetCache\Content.Word\DSC054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6074" cy="2484354"/>
                    </a:xfrm>
                    <a:prstGeom prst="rect">
                      <a:avLst/>
                    </a:prstGeom>
                    <a:noFill/>
                    <a:ln>
                      <a:noFill/>
                    </a:ln>
                  </pic:spPr>
                </pic:pic>
              </a:graphicData>
            </a:graphic>
          </wp:inline>
        </w:drawing>
      </w:r>
    </w:p>
    <w:p w:rsidR="00A82DC2" w:rsidRDefault="00A82DC2" w:rsidP="00A82DC2">
      <w:pPr>
        <w:pStyle w:val="Sinespaciado"/>
        <w:jc w:val="both"/>
        <w:rPr>
          <w:rFonts w:ascii="Times New Roman" w:hAnsi="Times New Roman" w:cs="Times New Roman"/>
          <w:sz w:val="24"/>
          <w:szCs w:val="24"/>
        </w:rPr>
      </w:pPr>
    </w:p>
    <w:p w:rsidR="00A82DC2" w:rsidRPr="00703C3B" w:rsidRDefault="00A82DC2" w:rsidP="00A82DC2">
      <w:pPr>
        <w:pStyle w:val="Ttulo5"/>
        <w:jc w:val="center"/>
        <w:rPr>
          <w:sz w:val="20"/>
        </w:rPr>
      </w:pPr>
      <w:r w:rsidRPr="00703C3B">
        <w:rPr>
          <w:sz w:val="20"/>
        </w:rPr>
        <w:t xml:space="preserve">Imagen </w:t>
      </w:r>
      <w:r w:rsidR="00703C3B" w:rsidRPr="00703C3B">
        <w:rPr>
          <w:sz w:val="20"/>
        </w:rPr>
        <w:t>7</w:t>
      </w:r>
      <w:r w:rsidRPr="00703C3B">
        <w:rPr>
          <w:sz w:val="20"/>
        </w:rPr>
        <w:t xml:space="preserve"> Mejoramiento integral de barrios</w:t>
      </w:r>
    </w:p>
    <w:p w:rsidR="00A82DC2" w:rsidRDefault="00A82DC2" w:rsidP="00A82DC2">
      <w:pPr>
        <w:jc w:val="both"/>
        <w:rPr>
          <w:sz w:val="24"/>
          <w:szCs w:val="24"/>
        </w:rPr>
      </w:pPr>
    </w:p>
    <w:p w:rsidR="00A82DC2" w:rsidRDefault="00A82DC2" w:rsidP="00A82DC2">
      <w:pPr>
        <w:rPr>
          <w:sz w:val="24"/>
          <w:szCs w:val="24"/>
          <w:lang w:val="es-ES"/>
        </w:rPr>
      </w:pPr>
    </w:p>
    <w:p w:rsidR="004676B8" w:rsidRDefault="004676B8" w:rsidP="004676B8">
      <w:pPr>
        <w:pStyle w:val="Ttulo4"/>
        <w:rPr>
          <w:rFonts w:ascii="Times New Roman" w:hAnsi="Times New Roman"/>
        </w:rPr>
      </w:pPr>
      <w:r>
        <w:rPr>
          <w:rFonts w:ascii="Times New Roman" w:hAnsi="Times New Roman"/>
        </w:rPr>
        <w:t>Mesa de Diálogo Sectorial de Hábitat</w:t>
      </w:r>
      <w:r w:rsidRPr="00D1780B">
        <w:rPr>
          <w:rFonts w:ascii="Times New Roman" w:hAnsi="Times New Roman"/>
        </w:rPr>
        <w:t>:</w:t>
      </w:r>
    </w:p>
    <w:p w:rsidR="004676B8" w:rsidRPr="00336D38" w:rsidRDefault="004676B8" w:rsidP="004676B8">
      <w:pPr>
        <w:rPr>
          <w:rFonts w:eastAsiaTheme="minorHAnsi"/>
          <w:sz w:val="24"/>
          <w:szCs w:val="24"/>
          <w:lang w:val="es-CO" w:eastAsia="en-US"/>
        </w:rPr>
      </w:pPr>
    </w:p>
    <w:p w:rsidR="007B535D" w:rsidRPr="00336D38" w:rsidRDefault="004676B8" w:rsidP="00336D38">
      <w:pPr>
        <w:jc w:val="both"/>
        <w:rPr>
          <w:rFonts w:eastAsiaTheme="minorHAnsi"/>
          <w:sz w:val="24"/>
          <w:szCs w:val="24"/>
          <w:lang w:val="es-CO" w:eastAsia="en-US"/>
        </w:rPr>
      </w:pPr>
      <w:r w:rsidRPr="00336D38">
        <w:rPr>
          <w:rFonts w:eastAsiaTheme="minorHAnsi"/>
          <w:sz w:val="24"/>
          <w:szCs w:val="24"/>
          <w:lang w:val="es-CO" w:eastAsia="en-US"/>
        </w:rPr>
        <w:t>La Secretaría</w:t>
      </w:r>
      <w:r w:rsidR="00FE64FA" w:rsidRPr="00336D38">
        <w:rPr>
          <w:rFonts w:eastAsiaTheme="minorHAnsi"/>
          <w:sz w:val="24"/>
          <w:szCs w:val="24"/>
          <w:lang w:val="es-CO" w:eastAsia="en-US"/>
        </w:rPr>
        <w:t xml:space="preserve"> Distrital de Hábitat, lideró el espacio de diálogo sectorial de rendición de cuentas, en este escenario</w:t>
      </w:r>
      <w:r w:rsidR="00790EA3" w:rsidRPr="00336D38">
        <w:rPr>
          <w:rFonts w:eastAsiaTheme="minorHAnsi"/>
          <w:sz w:val="24"/>
          <w:szCs w:val="24"/>
          <w:lang w:val="es-CO" w:eastAsia="en-US"/>
        </w:rPr>
        <w:t xml:space="preserve"> realizado el 15 de marzo de 2017,</w:t>
      </w:r>
      <w:r w:rsidR="00FE64FA" w:rsidRPr="00336D38">
        <w:rPr>
          <w:rFonts w:eastAsiaTheme="minorHAnsi"/>
          <w:sz w:val="24"/>
          <w:szCs w:val="24"/>
          <w:lang w:val="es-CO" w:eastAsia="en-US"/>
        </w:rPr>
        <w:t xml:space="preserve"> se presentaron los resultados de gestión del año 2016 por los directivos de las entidades adscritas al sector. Para este espacio la entidad </w:t>
      </w:r>
      <w:r w:rsidR="00B90B3D" w:rsidRPr="00336D38">
        <w:rPr>
          <w:rFonts w:eastAsiaTheme="minorHAnsi"/>
          <w:sz w:val="24"/>
          <w:szCs w:val="24"/>
          <w:lang w:val="es-CO" w:eastAsia="en-US"/>
        </w:rPr>
        <w:t>siguió los lineamientos metodológicos defi</w:t>
      </w:r>
      <w:r w:rsidR="00784F6E" w:rsidRPr="00336D38">
        <w:rPr>
          <w:rFonts w:eastAsiaTheme="minorHAnsi"/>
          <w:sz w:val="24"/>
          <w:szCs w:val="24"/>
          <w:lang w:val="es-CO" w:eastAsia="en-US"/>
        </w:rPr>
        <w:t>nidos por la Veeduría Distrital para los</w:t>
      </w:r>
      <w:r w:rsidR="00790EA3" w:rsidRPr="00336D38">
        <w:rPr>
          <w:rFonts w:eastAsiaTheme="minorHAnsi"/>
          <w:sz w:val="24"/>
          <w:szCs w:val="24"/>
          <w:lang w:val="es-CO" w:eastAsia="en-US"/>
        </w:rPr>
        <w:t xml:space="preserve"> espacios de diálogo.</w:t>
      </w:r>
    </w:p>
    <w:p w:rsidR="007B535D" w:rsidRPr="00336D38" w:rsidRDefault="007B535D" w:rsidP="00336D38">
      <w:pPr>
        <w:jc w:val="both"/>
        <w:rPr>
          <w:rFonts w:eastAsiaTheme="minorHAnsi"/>
          <w:sz w:val="24"/>
          <w:szCs w:val="24"/>
          <w:lang w:val="es-CO" w:eastAsia="en-US"/>
        </w:rPr>
      </w:pPr>
    </w:p>
    <w:p w:rsidR="007B535D" w:rsidRPr="00336D38" w:rsidRDefault="007B535D" w:rsidP="00336D38">
      <w:pPr>
        <w:jc w:val="both"/>
        <w:rPr>
          <w:rFonts w:eastAsiaTheme="minorHAnsi"/>
          <w:sz w:val="24"/>
          <w:szCs w:val="24"/>
          <w:lang w:val="es-CO" w:eastAsia="en-US"/>
        </w:rPr>
      </w:pPr>
      <w:r w:rsidRPr="00336D38">
        <w:rPr>
          <w:rFonts w:eastAsiaTheme="minorHAnsi"/>
          <w:sz w:val="24"/>
          <w:szCs w:val="24"/>
          <w:lang w:val="es-CO" w:eastAsia="en-US"/>
        </w:rPr>
        <w:t>Fase de Preparación: En el cual</w:t>
      </w:r>
      <w:r w:rsidR="00480E14" w:rsidRPr="00336D38">
        <w:rPr>
          <w:rFonts w:eastAsiaTheme="minorHAnsi"/>
          <w:sz w:val="24"/>
          <w:szCs w:val="24"/>
          <w:lang w:val="es-CO" w:eastAsia="en-US"/>
        </w:rPr>
        <w:t xml:space="preserve"> la entidad articuló</w:t>
      </w:r>
      <w:r w:rsidRPr="00336D38">
        <w:rPr>
          <w:rFonts w:eastAsiaTheme="minorHAnsi"/>
          <w:sz w:val="24"/>
          <w:szCs w:val="24"/>
          <w:lang w:val="es-CO" w:eastAsia="en-US"/>
        </w:rPr>
        <w:t xml:space="preserve"> esfuerzos de las entidades adscritas y vinculadas, </w:t>
      </w:r>
      <w:r w:rsidR="00480E14" w:rsidRPr="00336D38">
        <w:rPr>
          <w:rFonts w:eastAsiaTheme="minorHAnsi"/>
          <w:sz w:val="24"/>
          <w:szCs w:val="24"/>
          <w:lang w:val="es-CO" w:eastAsia="en-US"/>
        </w:rPr>
        <w:t>en la preparación del documento de discusión, divulgación de la convocatoria, publicación de formulario de preguntas, consolidación y diseño de la presentación.</w:t>
      </w:r>
    </w:p>
    <w:p w:rsidR="007B535D" w:rsidRPr="00E20F41" w:rsidRDefault="007B535D" w:rsidP="007B535D">
      <w:pPr>
        <w:rPr>
          <w:rFonts w:eastAsia="Calibri"/>
          <w:sz w:val="24"/>
          <w:szCs w:val="24"/>
          <w:lang w:eastAsia="en-US"/>
        </w:rPr>
      </w:pPr>
    </w:p>
    <w:p w:rsidR="007B535D" w:rsidRPr="00E20F41" w:rsidRDefault="002818CD" w:rsidP="002818CD">
      <w:pPr>
        <w:jc w:val="center"/>
        <w:rPr>
          <w:rFonts w:eastAsia="Calibri"/>
          <w:sz w:val="24"/>
          <w:szCs w:val="24"/>
          <w:lang w:eastAsia="en-US"/>
        </w:rPr>
      </w:pPr>
      <w:r>
        <w:rPr>
          <w:rFonts w:eastAsia="Calibri"/>
          <w:noProof/>
          <w:sz w:val="24"/>
          <w:szCs w:val="24"/>
          <w:lang w:eastAsia="en-US"/>
        </w:rPr>
        <w:drawing>
          <wp:inline distT="0" distB="0" distL="0" distR="0">
            <wp:extent cx="4601363" cy="3023485"/>
            <wp:effectExtent l="0" t="0" r="889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7755" cy="3034256"/>
                    </a:xfrm>
                    <a:prstGeom prst="rect">
                      <a:avLst/>
                    </a:prstGeom>
                    <a:noFill/>
                    <a:ln>
                      <a:noFill/>
                    </a:ln>
                  </pic:spPr>
                </pic:pic>
              </a:graphicData>
            </a:graphic>
          </wp:inline>
        </w:drawing>
      </w:r>
    </w:p>
    <w:p w:rsidR="002818CD" w:rsidRPr="00024739" w:rsidRDefault="00703C3B" w:rsidP="002818CD">
      <w:pPr>
        <w:pStyle w:val="Ttulo5"/>
        <w:jc w:val="center"/>
        <w:rPr>
          <w:sz w:val="20"/>
        </w:rPr>
      </w:pPr>
      <w:r>
        <w:rPr>
          <w:sz w:val="20"/>
        </w:rPr>
        <w:t>Imagen 8</w:t>
      </w:r>
      <w:r w:rsidR="002818CD">
        <w:rPr>
          <w:sz w:val="20"/>
        </w:rPr>
        <w:t xml:space="preserve"> Presentación Rendición de Cuentas Sectorial</w:t>
      </w:r>
    </w:p>
    <w:p w:rsidR="002818CD" w:rsidRDefault="002818CD" w:rsidP="007B535D">
      <w:pPr>
        <w:jc w:val="both"/>
        <w:rPr>
          <w:rFonts w:eastAsia="Calibri"/>
          <w:sz w:val="24"/>
          <w:szCs w:val="24"/>
          <w:lang w:eastAsia="en-US"/>
        </w:rPr>
      </w:pPr>
    </w:p>
    <w:p w:rsidR="002818CD" w:rsidRDefault="002818CD" w:rsidP="007B535D">
      <w:pPr>
        <w:jc w:val="both"/>
        <w:rPr>
          <w:rFonts w:eastAsia="Calibri"/>
          <w:sz w:val="24"/>
          <w:szCs w:val="24"/>
          <w:lang w:eastAsia="en-US"/>
        </w:rPr>
      </w:pPr>
    </w:p>
    <w:p w:rsidR="00B329D5" w:rsidRDefault="007B535D" w:rsidP="00B329D5">
      <w:pPr>
        <w:jc w:val="both"/>
        <w:rPr>
          <w:sz w:val="24"/>
          <w:szCs w:val="24"/>
          <w:lang w:val="es-CO"/>
        </w:rPr>
      </w:pPr>
      <w:r w:rsidRPr="00480E14">
        <w:rPr>
          <w:rFonts w:eastAsia="Calibri"/>
          <w:sz w:val="24"/>
          <w:szCs w:val="24"/>
          <w:lang w:eastAsia="en-US"/>
        </w:rPr>
        <w:t>Fase de Desarrollo:</w:t>
      </w:r>
      <w:r w:rsidRPr="007B535D">
        <w:rPr>
          <w:rFonts w:eastAsia="Calibri"/>
          <w:sz w:val="24"/>
          <w:szCs w:val="24"/>
          <w:lang w:eastAsia="en-US"/>
        </w:rPr>
        <w:t xml:space="preserve"> En</w:t>
      </w:r>
      <w:r w:rsidRPr="00E20F41">
        <w:rPr>
          <w:rFonts w:eastAsia="Calibri"/>
          <w:sz w:val="24"/>
          <w:szCs w:val="24"/>
          <w:lang w:eastAsia="en-US"/>
        </w:rPr>
        <w:t xml:space="preserve"> </w:t>
      </w:r>
      <w:r>
        <w:rPr>
          <w:rFonts w:eastAsia="Calibri"/>
          <w:sz w:val="24"/>
          <w:szCs w:val="24"/>
          <w:lang w:eastAsia="en-US"/>
        </w:rPr>
        <w:t xml:space="preserve">la fase de </w:t>
      </w:r>
      <w:r w:rsidRPr="00E20F41">
        <w:rPr>
          <w:rFonts w:eastAsia="Calibri"/>
          <w:sz w:val="24"/>
          <w:szCs w:val="24"/>
          <w:lang w:eastAsia="en-US"/>
        </w:rPr>
        <w:t xml:space="preserve">desarrollo </w:t>
      </w:r>
      <w:r w:rsidR="00480E14">
        <w:rPr>
          <w:rFonts w:eastAsia="Calibri"/>
          <w:sz w:val="24"/>
          <w:szCs w:val="24"/>
          <w:lang w:eastAsia="en-US"/>
        </w:rPr>
        <w:t>la entidad coordinó la organización del espacio físico de la rendición de cuentas, la captura de la memoria audiovisual, consolidación de preguntas.</w:t>
      </w:r>
      <w:r w:rsidR="00B329D5">
        <w:rPr>
          <w:rFonts w:eastAsia="Calibri"/>
          <w:sz w:val="24"/>
          <w:szCs w:val="24"/>
          <w:lang w:eastAsia="en-US"/>
        </w:rPr>
        <w:t xml:space="preserve"> </w:t>
      </w:r>
      <w:r w:rsidR="00B329D5">
        <w:rPr>
          <w:sz w:val="24"/>
          <w:szCs w:val="24"/>
          <w:lang w:val="es-CO"/>
        </w:rPr>
        <w:t>En la mesa de diálogo sectorial, se realizó el siguiente desarrollo temático:</w:t>
      </w:r>
    </w:p>
    <w:p w:rsidR="007B535D" w:rsidRDefault="007B535D" w:rsidP="007B535D">
      <w:pPr>
        <w:jc w:val="both"/>
        <w:rPr>
          <w:rFonts w:eastAsia="Calibri"/>
          <w:sz w:val="24"/>
          <w:szCs w:val="24"/>
          <w:lang w:eastAsia="en-US"/>
        </w:rPr>
      </w:pPr>
    </w:p>
    <w:p w:rsidR="00B329D5" w:rsidRDefault="00B329D5" w:rsidP="00B329D5">
      <w:pPr>
        <w:jc w:val="center"/>
        <w:rPr>
          <w:rFonts w:eastAsia="Calibri"/>
          <w:sz w:val="24"/>
          <w:szCs w:val="24"/>
          <w:lang w:eastAsia="en-US"/>
        </w:rPr>
      </w:pPr>
      <w:r w:rsidRPr="00E20F41">
        <w:rPr>
          <w:noProof/>
          <w:sz w:val="24"/>
          <w:szCs w:val="24"/>
          <w:lang w:val="es-ES"/>
        </w:rPr>
        <w:drawing>
          <wp:inline distT="0" distB="0" distL="0" distR="0" wp14:anchorId="1BDA03D9" wp14:editId="15D26231">
            <wp:extent cx="4452443" cy="2462883"/>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1002" cy="2467618"/>
                    </a:xfrm>
                    <a:prstGeom prst="rect">
                      <a:avLst/>
                    </a:prstGeom>
                    <a:noFill/>
                    <a:ln>
                      <a:noFill/>
                    </a:ln>
                  </pic:spPr>
                </pic:pic>
              </a:graphicData>
            </a:graphic>
          </wp:inline>
        </w:drawing>
      </w:r>
    </w:p>
    <w:p w:rsidR="00703C3B" w:rsidRPr="00024739" w:rsidRDefault="00703C3B" w:rsidP="00703C3B">
      <w:pPr>
        <w:pStyle w:val="Ttulo5"/>
        <w:jc w:val="center"/>
        <w:rPr>
          <w:sz w:val="20"/>
        </w:rPr>
      </w:pPr>
      <w:r>
        <w:rPr>
          <w:sz w:val="20"/>
        </w:rPr>
        <w:t>Imagen 9 Contenido Rendición de Cuentas Sectorial</w:t>
      </w:r>
    </w:p>
    <w:p w:rsidR="00B329D5" w:rsidRDefault="00B329D5" w:rsidP="007B535D">
      <w:pPr>
        <w:jc w:val="both"/>
        <w:rPr>
          <w:rFonts w:eastAsia="Calibri"/>
          <w:sz w:val="24"/>
          <w:szCs w:val="24"/>
          <w:lang w:eastAsia="en-US"/>
        </w:rPr>
      </w:pPr>
    </w:p>
    <w:p w:rsidR="007B535D" w:rsidRPr="00E20F41" w:rsidRDefault="007B535D" w:rsidP="007B535D">
      <w:pPr>
        <w:rPr>
          <w:rFonts w:eastAsia="Calibri"/>
          <w:sz w:val="24"/>
          <w:szCs w:val="24"/>
          <w:lang w:eastAsia="en-US"/>
        </w:rPr>
      </w:pPr>
    </w:p>
    <w:p w:rsidR="00480E14" w:rsidRDefault="007B535D" w:rsidP="007B535D">
      <w:pPr>
        <w:jc w:val="both"/>
        <w:rPr>
          <w:sz w:val="24"/>
          <w:szCs w:val="24"/>
          <w:lang w:val="es-CO"/>
        </w:rPr>
      </w:pPr>
      <w:r w:rsidRPr="00480E14">
        <w:rPr>
          <w:sz w:val="24"/>
          <w:szCs w:val="24"/>
          <w:lang w:val="es-CO"/>
        </w:rPr>
        <w:lastRenderedPageBreak/>
        <w:t>Fase de seguimiento:</w:t>
      </w:r>
      <w:r w:rsidRPr="00E20F41">
        <w:rPr>
          <w:sz w:val="24"/>
          <w:szCs w:val="24"/>
          <w:lang w:val="es-CO"/>
        </w:rPr>
        <w:t xml:space="preserve"> Corresponden a las acciones posteriores a la realización de la jornada</w:t>
      </w:r>
      <w:r w:rsidR="00480E14">
        <w:rPr>
          <w:sz w:val="24"/>
          <w:szCs w:val="24"/>
          <w:lang w:val="es-CO"/>
        </w:rPr>
        <w:t xml:space="preserve"> de diálogo</w:t>
      </w:r>
      <w:r>
        <w:rPr>
          <w:sz w:val="24"/>
          <w:szCs w:val="24"/>
          <w:lang w:val="es-CO"/>
        </w:rPr>
        <w:t>.</w:t>
      </w:r>
      <w:r w:rsidRPr="00E20F41">
        <w:rPr>
          <w:sz w:val="24"/>
          <w:szCs w:val="24"/>
          <w:lang w:val="es-CO"/>
        </w:rPr>
        <w:t xml:space="preserve"> </w:t>
      </w:r>
      <w:r>
        <w:rPr>
          <w:sz w:val="24"/>
          <w:szCs w:val="24"/>
          <w:lang w:val="es-CO"/>
        </w:rPr>
        <w:t>P</w:t>
      </w:r>
      <w:r w:rsidRPr="00E20F41">
        <w:rPr>
          <w:sz w:val="24"/>
          <w:szCs w:val="24"/>
          <w:lang w:val="es-CO"/>
        </w:rPr>
        <w:t>ara la fase de seguimiento</w:t>
      </w:r>
      <w:r>
        <w:rPr>
          <w:sz w:val="24"/>
          <w:szCs w:val="24"/>
          <w:lang w:val="es-CO"/>
        </w:rPr>
        <w:t>,</w:t>
      </w:r>
      <w:r w:rsidRPr="00E20F41">
        <w:rPr>
          <w:sz w:val="24"/>
          <w:szCs w:val="24"/>
          <w:lang w:val="es-CO"/>
        </w:rPr>
        <w:t xml:space="preserve"> </w:t>
      </w:r>
      <w:r w:rsidR="00480E14">
        <w:rPr>
          <w:sz w:val="24"/>
          <w:szCs w:val="24"/>
          <w:lang w:val="es-CO"/>
        </w:rPr>
        <w:t>se consolida el informe de la mesa sectorial y se publica en los portales institucionales de las entidades participantes.</w:t>
      </w:r>
      <w:r w:rsidR="00B329D5">
        <w:rPr>
          <w:sz w:val="24"/>
          <w:szCs w:val="24"/>
          <w:lang w:val="es-CO"/>
        </w:rPr>
        <w:t xml:space="preserve"> </w:t>
      </w:r>
    </w:p>
    <w:p w:rsidR="003C2A8F" w:rsidRDefault="003C2A8F" w:rsidP="00A82DC2">
      <w:pPr>
        <w:rPr>
          <w:sz w:val="24"/>
          <w:szCs w:val="24"/>
          <w:lang w:val="es-ES"/>
        </w:rPr>
      </w:pPr>
    </w:p>
    <w:p w:rsidR="003C2A8F" w:rsidRDefault="00480E14" w:rsidP="0004040D">
      <w:pPr>
        <w:jc w:val="both"/>
        <w:rPr>
          <w:sz w:val="24"/>
          <w:szCs w:val="24"/>
          <w:lang w:val="es-ES"/>
        </w:rPr>
      </w:pPr>
      <w:r>
        <w:rPr>
          <w:sz w:val="24"/>
          <w:szCs w:val="24"/>
          <w:lang w:val="es-ES"/>
        </w:rPr>
        <w:t xml:space="preserve">En este espacio de diálogo, se registra la participación de 226 participantes, en su evaluación se registran valoraciones positivas sobre la importancia del espacio de diálogo y la promoción de la participación en la jornada, también se registra </w:t>
      </w:r>
      <w:r w:rsidR="0004040D">
        <w:rPr>
          <w:sz w:val="24"/>
          <w:szCs w:val="24"/>
          <w:lang w:val="es-ES"/>
        </w:rPr>
        <w:t xml:space="preserve">la aceptación sobre la claridad y calidad de los contenidos y de las respuestas, la atención a los participantes y sobre los canales usados para la convocatoria. Para este espacio se presenta como recomendación la ampliación del espacio de la rendición. </w:t>
      </w:r>
    </w:p>
    <w:p w:rsidR="003C2A8F" w:rsidRDefault="003C2A8F" w:rsidP="00A82DC2">
      <w:pPr>
        <w:rPr>
          <w:sz w:val="24"/>
          <w:szCs w:val="24"/>
          <w:lang w:val="es-ES"/>
        </w:rPr>
      </w:pPr>
    </w:p>
    <w:p w:rsidR="00AD31BE" w:rsidRDefault="00AD31BE" w:rsidP="00AD31BE">
      <w:pPr>
        <w:pStyle w:val="Ttulo4"/>
        <w:rPr>
          <w:rFonts w:ascii="Times New Roman" w:hAnsi="Times New Roman"/>
        </w:rPr>
      </w:pPr>
      <w:r>
        <w:rPr>
          <w:rFonts w:ascii="Times New Roman" w:hAnsi="Times New Roman"/>
        </w:rPr>
        <w:t>Mesa de Pactos Distrital</w:t>
      </w:r>
      <w:r w:rsidRPr="00D1780B">
        <w:rPr>
          <w:rFonts w:ascii="Times New Roman" w:hAnsi="Times New Roman"/>
        </w:rPr>
        <w:t>:</w:t>
      </w:r>
    </w:p>
    <w:p w:rsidR="003C2A8F" w:rsidRDefault="003C2A8F" w:rsidP="00A82DC2">
      <w:pPr>
        <w:rPr>
          <w:sz w:val="24"/>
          <w:szCs w:val="24"/>
          <w:lang w:val="es-ES"/>
        </w:rPr>
      </w:pPr>
    </w:p>
    <w:p w:rsidR="003C2A8F" w:rsidRDefault="00AD31BE" w:rsidP="002657BA">
      <w:pPr>
        <w:jc w:val="both"/>
        <w:rPr>
          <w:sz w:val="24"/>
          <w:szCs w:val="24"/>
          <w:lang w:val="es-ES"/>
        </w:rPr>
      </w:pPr>
      <w:r>
        <w:rPr>
          <w:sz w:val="24"/>
          <w:szCs w:val="24"/>
          <w:lang w:val="es-ES"/>
        </w:rPr>
        <w:t xml:space="preserve">En este espacio de diálogo, la entidad suscribió un pacto de entrega de información con el Observatorio Ciudadano y la Veeduría Distrital, siguiendo la </w:t>
      </w:r>
      <w:r w:rsidR="002657BA">
        <w:rPr>
          <w:sz w:val="24"/>
          <w:szCs w:val="24"/>
          <w:lang w:val="es-ES"/>
        </w:rPr>
        <w:t xml:space="preserve">herramienta de </w:t>
      </w:r>
      <w:r w:rsidR="002657BA" w:rsidRPr="002657BA">
        <w:rPr>
          <w:sz w:val="24"/>
          <w:szCs w:val="24"/>
          <w:lang w:val="es-ES"/>
        </w:rPr>
        <w:t>Seguimiento a la Gestión Local basada en el estándar ISO/18091:2014.</w:t>
      </w:r>
      <w:r w:rsidR="002657BA">
        <w:rPr>
          <w:sz w:val="24"/>
          <w:szCs w:val="24"/>
          <w:lang w:val="es-ES"/>
        </w:rPr>
        <w:t xml:space="preserve"> Este espacio se desarrolla en dos momentos, el primero, en el cual la entidad suscribe el pacto de entrega de información con una fecha límite de radicación y bajo las condiciones requeridas para cada tema. Segundo, una vez se entregada la información, se realiza un segundo momento en el cual la entidad presenta la información al observatorio y a la entidad de control, en este espacio el representante de la organización social evalúa la calidad, oportunidad, pertinencia e integralidad de la información aportada por la entidad. </w:t>
      </w:r>
    </w:p>
    <w:p w:rsidR="002657BA" w:rsidRDefault="002657BA" w:rsidP="002657BA">
      <w:pPr>
        <w:jc w:val="both"/>
        <w:rPr>
          <w:sz w:val="24"/>
          <w:szCs w:val="24"/>
          <w:lang w:val="es-ES"/>
        </w:rPr>
      </w:pPr>
    </w:p>
    <w:p w:rsidR="002657BA" w:rsidRDefault="002657BA" w:rsidP="002657BA">
      <w:pPr>
        <w:jc w:val="both"/>
        <w:rPr>
          <w:sz w:val="24"/>
          <w:szCs w:val="24"/>
          <w:lang w:val="es-ES"/>
        </w:rPr>
      </w:pPr>
      <w:r>
        <w:rPr>
          <w:sz w:val="24"/>
          <w:szCs w:val="24"/>
          <w:lang w:val="es-ES"/>
        </w:rPr>
        <w:t>Para la mesa de pactos la entidad presentó información relacionada con la articulación con las políticas de vivienda con el orden nacional, las acciones y resultados de las intervenciones integrales de mejoramiento y la habilitación de uso del suelo para vivienda. En este espacio de diálogo la entidad fue evaluada con</w:t>
      </w:r>
      <w:r w:rsidR="004B73E5">
        <w:rPr>
          <w:sz w:val="24"/>
          <w:szCs w:val="24"/>
          <w:lang w:val="es-ES"/>
        </w:rPr>
        <w:t xml:space="preserve"> la máxima ponderación otorgada por el Observatorio Ciudadano.</w:t>
      </w:r>
    </w:p>
    <w:p w:rsidR="003C2A8F" w:rsidRDefault="003C2A8F" w:rsidP="002657BA">
      <w:pPr>
        <w:jc w:val="both"/>
        <w:rPr>
          <w:sz w:val="24"/>
          <w:szCs w:val="24"/>
          <w:lang w:val="es-ES"/>
        </w:rPr>
      </w:pPr>
    </w:p>
    <w:p w:rsidR="004B73E5" w:rsidRDefault="004B73E5" w:rsidP="004B73E5">
      <w:pPr>
        <w:pStyle w:val="Ttulo4"/>
        <w:rPr>
          <w:rFonts w:ascii="Times New Roman" w:hAnsi="Times New Roman"/>
        </w:rPr>
      </w:pPr>
      <w:r>
        <w:rPr>
          <w:rFonts w:ascii="Times New Roman" w:hAnsi="Times New Roman"/>
        </w:rPr>
        <w:t xml:space="preserve">Mesa de </w:t>
      </w:r>
      <w:r w:rsidR="00A22B6B">
        <w:rPr>
          <w:rFonts w:ascii="Times New Roman" w:hAnsi="Times New Roman"/>
        </w:rPr>
        <w:t>Diálogo Virtual</w:t>
      </w:r>
      <w:r w:rsidRPr="00D1780B">
        <w:rPr>
          <w:rFonts w:ascii="Times New Roman" w:hAnsi="Times New Roman"/>
        </w:rPr>
        <w:t>:</w:t>
      </w:r>
    </w:p>
    <w:p w:rsidR="003C2A8F" w:rsidRDefault="003C2A8F" w:rsidP="002657BA">
      <w:pPr>
        <w:jc w:val="both"/>
        <w:rPr>
          <w:sz w:val="24"/>
          <w:szCs w:val="24"/>
          <w:lang w:val="es-ES"/>
        </w:rPr>
      </w:pPr>
    </w:p>
    <w:p w:rsidR="00454327" w:rsidRDefault="0059771B" w:rsidP="002657BA">
      <w:pPr>
        <w:jc w:val="both"/>
        <w:rPr>
          <w:sz w:val="24"/>
          <w:szCs w:val="24"/>
          <w:lang w:val="es-ES"/>
        </w:rPr>
      </w:pPr>
      <w:r>
        <w:rPr>
          <w:sz w:val="24"/>
          <w:szCs w:val="24"/>
          <w:lang w:val="es-ES"/>
        </w:rPr>
        <w:t xml:space="preserve">Para fortalecer el uso y apropiación de canales virtuales en su estrategia de gobierno digital, la entidad desarrolló un espacio de rendición de cuentas virtual para ampliar el impacto entre los grupos de valor. </w:t>
      </w:r>
      <w:r w:rsidR="00454327">
        <w:rPr>
          <w:sz w:val="24"/>
          <w:szCs w:val="24"/>
          <w:lang w:val="es-ES"/>
        </w:rPr>
        <w:t xml:space="preserve">A través de una transmisión en vivo a través de redes sociales y página web, la Secretaría Distrital del Hábitat, realizó el día 14 de diciembre la rendición de cuentas virtual, en este espacio se contó con la participación de los Subsecretarios de Planeación y Política, Gestión Financiera, Coordinación Operativa e Inspección Vigilancia y Control. </w:t>
      </w:r>
    </w:p>
    <w:p w:rsidR="00454327" w:rsidRDefault="00454327" w:rsidP="002657BA">
      <w:pPr>
        <w:jc w:val="both"/>
        <w:rPr>
          <w:sz w:val="24"/>
          <w:szCs w:val="24"/>
          <w:lang w:val="es-ES"/>
        </w:rPr>
      </w:pPr>
    </w:p>
    <w:p w:rsidR="00454327" w:rsidRDefault="00454327" w:rsidP="002657BA">
      <w:pPr>
        <w:jc w:val="both"/>
        <w:rPr>
          <w:sz w:val="24"/>
          <w:szCs w:val="24"/>
          <w:lang w:val="es-ES"/>
        </w:rPr>
      </w:pPr>
      <w:r>
        <w:rPr>
          <w:sz w:val="24"/>
          <w:szCs w:val="24"/>
          <w:lang w:val="es-ES"/>
        </w:rPr>
        <w:t xml:space="preserve">Para este ejercicio, la entidad publicó una encuesta por redes sociales, página web y escenarios presenciales para priorizar los temas a presentar en el espacio de diálogo. </w:t>
      </w:r>
      <w:r w:rsidR="00337947">
        <w:rPr>
          <w:sz w:val="24"/>
          <w:szCs w:val="24"/>
          <w:lang w:val="es-ES"/>
        </w:rPr>
        <w:t xml:space="preserve">Se contó con la participación de </w:t>
      </w:r>
      <w:r w:rsidR="008E2E2D">
        <w:rPr>
          <w:sz w:val="24"/>
          <w:szCs w:val="24"/>
          <w:lang w:val="es-ES"/>
        </w:rPr>
        <w:t>945</w:t>
      </w:r>
      <w:r w:rsidR="00337947">
        <w:rPr>
          <w:sz w:val="24"/>
          <w:szCs w:val="24"/>
          <w:lang w:val="es-ES"/>
        </w:rPr>
        <w:t xml:space="preserve"> ciudadanos que votaron por temas relacionados con </w:t>
      </w:r>
      <w:r w:rsidR="008A77DC">
        <w:rPr>
          <w:sz w:val="24"/>
          <w:szCs w:val="24"/>
          <w:lang w:val="es-ES"/>
        </w:rPr>
        <w:t>la oferta de vivienda, intervenciones de mejoramiento y control de la ilegalidad.</w:t>
      </w:r>
    </w:p>
    <w:p w:rsidR="00342C5A" w:rsidRDefault="00342C5A" w:rsidP="002657BA">
      <w:pPr>
        <w:jc w:val="both"/>
        <w:rPr>
          <w:sz w:val="24"/>
          <w:szCs w:val="24"/>
          <w:lang w:val="es-ES"/>
        </w:rPr>
      </w:pPr>
    </w:p>
    <w:p w:rsidR="00342C5A" w:rsidRDefault="00342C5A" w:rsidP="00342C5A">
      <w:pPr>
        <w:jc w:val="center"/>
        <w:rPr>
          <w:sz w:val="24"/>
          <w:szCs w:val="24"/>
          <w:lang w:val="es-ES"/>
        </w:rPr>
      </w:pPr>
      <w:r w:rsidRPr="00342C5A">
        <w:rPr>
          <w:noProof/>
          <w:sz w:val="24"/>
          <w:szCs w:val="24"/>
          <w:lang w:val="es-ES"/>
        </w:rPr>
        <w:lastRenderedPageBreak/>
        <w:drawing>
          <wp:inline distT="0" distB="0" distL="0" distR="0" wp14:anchorId="0AECC5A9" wp14:editId="7814E4DF">
            <wp:extent cx="4572396" cy="257578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396" cy="2575783"/>
                    </a:xfrm>
                    <a:prstGeom prst="rect">
                      <a:avLst/>
                    </a:prstGeom>
                  </pic:spPr>
                </pic:pic>
              </a:graphicData>
            </a:graphic>
          </wp:inline>
        </w:drawing>
      </w:r>
    </w:p>
    <w:p w:rsidR="00A90EAA" w:rsidRPr="00024739" w:rsidRDefault="00A90EAA" w:rsidP="00A90EAA">
      <w:pPr>
        <w:pStyle w:val="Ttulo5"/>
        <w:jc w:val="center"/>
        <w:rPr>
          <w:sz w:val="20"/>
        </w:rPr>
      </w:pPr>
      <w:r>
        <w:rPr>
          <w:sz w:val="20"/>
        </w:rPr>
        <w:t>Imagen 10 Temáticas Rendición de Cuentas Virtual</w:t>
      </w:r>
    </w:p>
    <w:p w:rsidR="00860399" w:rsidRDefault="00860399" w:rsidP="002657BA">
      <w:pPr>
        <w:jc w:val="both"/>
        <w:rPr>
          <w:sz w:val="24"/>
          <w:szCs w:val="24"/>
          <w:lang w:val="es-ES"/>
        </w:rPr>
      </w:pPr>
    </w:p>
    <w:p w:rsidR="00342C5A" w:rsidRDefault="00860399" w:rsidP="002657BA">
      <w:pPr>
        <w:jc w:val="both"/>
        <w:rPr>
          <w:sz w:val="24"/>
          <w:szCs w:val="24"/>
          <w:lang w:val="es-ES"/>
        </w:rPr>
      </w:pPr>
      <w:r>
        <w:rPr>
          <w:sz w:val="24"/>
          <w:szCs w:val="24"/>
          <w:lang w:val="es-ES"/>
        </w:rPr>
        <w:t xml:space="preserve">En la rendición de cuentas virtual se registra la participación de </w:t>
      </w:r>
      <w:r w:rsidR="005E1E64">
        <w:rPr>
          <w:sz w:val="24"/>
          <w:szCs w:val="24"/>
          <w:lang w:val="es-ES"/>
        </w:rPr>
        <w:t>14.23</w:t>
      </w:r>
      <w:r w:rsidR="00B145E7">
        <w:rPr>
          <w:sz w:val="24"/>
          <w:szCs w:val="24"/>
          <w:lang w:val="es-ES"/>
        </w:rPr>
        <w:t>3</w:t>
      </w:r>
      <w:r>
        <w:rPr>
          <w:sz w:val="24"/>
          <w:szCs w:val="24"/>
          <w:lang w:val="es-ES"/>
        </w:rPr>
        <w:t xml:space="preserve"> ciudadanos, a trav</w:t>
      </w:r>
      <w:r w:rsidR="00D4321B">
        <w:rPr>
          <w:sz w:val="24"/>
          <w:szCs w:val="24"/>
          <w:lang w:val="es-ES"/>
        </w:rPr>
        <w:t xml:space="preserve">és del enlace en la página web, </w:t>
      </w:r>
      <w:r w:rsidR="00B145E7">
        <w:rPr>
          <w:sz w:val="24"/>
          <w:szCs w:val="24"/>
          <w:lang w:val="es-ES"/>
        </w:rPr>
        <w:t>en redes sociales (</w:t>
      </w:r>
      <w:r>
        <w:rPr>
          <w:sz w:val="24"/>
          <w:szCs w:val="24"/>
          <w:lang w:val="es-ES"/>
        </w:rPr>
        <w:t>facebook y twitter</w:t>
      </w:r>
      <w:r w:rsidR="00B145E7">
        <w:rPr>
          <w:sz w:val="24"/>
          <w:szCs w:val="24"/>
          <w:lang w:val="es-ES"/>
        </w:rPr>
        <w:t>)</w:t>
      </w:r>
      <w:r w:rsidR="005E1E64">
        <w:rPr>
          <w:sz w:val="24"/>
          <w:szCs w:val="24"/>
          <w:lang w:val="es-ES"/>
        </w:rPr>
        <w:t>, lo cual señala la eficiencia del uso de canales virtuales en la convocatoria</w:t>
      </w:r>
      <w:r>
        <w:rPr>
          <w:sz w:val="24"/>
          <w:szCs w:val="24"/>
          <w:lang w:val="es-ES"/>
        </w:rPr>
        <w:t>.</w:t>
      </w:r>
      <w:r w:rsidR="00D4321B">
        <w:rPr>
          <w:sz w:val="24"/>
          <w:szCs w:val="24"/>
          <w:lang w:val="es-ES"/>
        </w:rPr>
        <w:t xml:space="preserve"> Como evaluación de este espacio, los usuarios valoran positivamente el acceso oportuno a la información, la claridad en el lenguaje</w:t>
      </w:r>
      <w:r w:rsidR="00AA65FB">
        <w:rPr>
          <w:sz w:val="24"/>
          <w:szCs w:val="24"/>
          <w:lang w:val="es-ES"/>
        </w:rPr>
        <w:t>, el uso de canales digitales para el espacio de diálogo</w:t>
      </w:r>
      <w:r w:rsidR="00D4321B">
        <w:rPr>
          <w:sz w:val="24"/>
          <w:szCs w:val="24"/>
          <w:lang w:val="es-ES"/>
        </w:rPr>
        <w:t>. Se registran observaciones sobre la oportunidad en las respu</w:t>
      </w:r>
      <w:r w:rsidR="00AA65FB">
        <w:rPr>
          <w:sz w:val="24"/>
          <w:szCs w:val="24"/>
          <w:lang w:val="es-ES"/>
        </w:rPr>
        <w:t>estas generadas por la entidad</w:t>
      </w:r>
      <w:r w:rsidR="00EE0259">
        <w:rPr>
          <w:sz w:val="24"/>
          <w:szCs w:val="24"/>
          <w:lang w:val="es-ES"/>
        </w:rPr>
        <w:t xml:space="preserve"> y el tiempo dedicado para el espacio virtual de rendición de cuentas.</w:t>
      </w:r>
    </w:p>
    <w:p w:rsidR="00454327" w:rsidRDefault="00454327" w:rsidP="002657BA">
      <w:pPr>
        <w:jc w:val="both"/>
        <w:rPr>
          <w:sz w:val="24"/>
          <w:szCs w:val="24"/>
          <w:lang w:val="es-ES"/>
        </w:rPr>
      </w:pPr>
    </w:p>
    <w:p w:rsidR="00A82DC2" w:rsidRPr="009F6BAF" w:rsidRDefault="00A82DC2" w:rsidP="00A82DC2">
      <w:pPr>
        <w:pStyle w:val="Ttulo3"/>
        <w:rPr>
          <w:rFonts w:ascii="Times New Roman" w:hAnsi="Times New Roman"/>
          <w:b/>
          <w:lang w:val="es-CO"/>
        </w:rPr>
      </w:pPr>
      <w:bookmarkStart w:id="8" w:name="_Toc504666512"/>
      <w:r w:rsidRPr="009F6BAF">
        <w:rPr>
          <w:rFonts w:ascii="Times New Roman" w:hAnsi="Times New Roman"/>
          <w:b/>
          <w:lang w:val="es-CO"/>
        </w:rPr>
        <w:t xml:space="preserve">Acciones componente de </w:t>
      </w:r>
      <w:r>
        <w:rPr>
          <w:rFonts w:ascii="Times New Roman" w:hAnsi="Times New Roman"/>
          <w:b/>
          <w:lang w:val="es-CO"/>
        </w:rPr>
        <w:t>Incentivos</w:t>
      </w:r>
      <w:bookmarkEnd w:id="8"/>
    </w:p>
    <w:p w:rsidR="00A82DC2" w:rsidRDefault="00A82DC2" w:rsidP="00A82DC2">
      <w:pPr>
        <w:jc w:val="both"/>
        <w:rPr>
          <w:sz w:val="22"/>
          <w:szCs w:val="22"/>
          <w:lang w:val="es-CO"/>
        </w:rPr>
      </w:pPr>
    </w:p>
    <w:p w:rsidR="007F3BE0" w:rsidRPr="00DD7DC4" w:rsidRDefault="007F3BE0" w:rsidP="007F3BE0">
      <w:pPr>
        <w:pStyle w:val="Ttulo4"/>
        <w:rPr>
          <w:rFonts w:ascii="Times New Roman" w:hAnsi="Times New Roman"/>
        </w:rPr>
      </w:pPr>
      <w:r w:rsidRPr="00DD7DC4">
        <w:rPr>
          <w:rFonts w:ascii="Times New Roman" w:hAnsi="Times New Roman"/>
        </w:rPr>
        <w:t xml:space="preserve">Capacitación </w:t>
      </w:r>
      <w:r>
        <w:rPr>
          <w:rFonts w:ascii="Times New Roman" w:hAnsi="Times New Roman"/>
        </w:rPr>
        <w:t>de servidores públicos</w:t>
      </w:r>
      <w:r w:rsidRPr="00DD7DC4">
        <w:rPr>
          <w:rFonts w:ascii="Times New Roman" w:hAnsi="Times New Roman"/>
        </w:rPr>
        <w:t>:</w:t>
      </w:r>
    </w:p>
    <w:p w:rsidR="007F3BE0" w:rsidRDefault="007F3BE0" w:rsidP="007F3BE0">
      <w:pPr>
        <w:pStyle w:val="Sinespaciado"/>
        <w:jc w:val="both"/>
        <w:rPr>
          <w:rFonts w:ascii="Times New Roman" w:hAnsi="Times New Roman" w:cs="Times New Roman"/>
          <w:sz w:val="24"/>
          <w:szCs w:val="24"/>
        </w:rPr>
      </w:pPr>
    </w:p>
    <w:p w:rsidR="00365392" w:rsidRDefault="007F3BE0" w:rsidP="00A82DC2">
      <w:pPr>
        <w:jc w:val="both"/>
        <w:rPr>
          <w:sz w:val="22"/>
          <w:szCs w:val="22"/>
          <w:lang w:val="es-CO"/>
        </w:rPr>
      </w:pPr>
      <w:r w:rsidRPr="008315B9">
        <w:rPr>
          <w:sz w:val="24"/>
          <w:szCs w:val="24"/>
          <w:lang w:val="es-CO"/>
        </w:rPr>
        <w:t>E</w:t>
      </w:r>
      <w:r w:rsidR="00DD3B3A" w:rsidRPr="008315B9">
        <w:rPr>
          <w:sz w:val="24"/>
          <w:szCs w:val="24"/>
          <w:lang w:val="es-CO"/>
        </w:rPr>
        <w:t>n las acciones relacionadas con el fortalecimiento</w:t>
      </w:r>
      <w:r w:rsidR="00B145E7" w:rsidRPr="008315B9">
        <w:rPr>
          <w:sz w:val="24"/>
          <w:szCs w:val="24"/>
          <w:lang w:val="es-CO"/>
        </w:rPr>
        <w:t xml:space="preserve"> </w:t>
      </w:r>
      <w:r w:rsidR="00C823ED" w:rsidRPr="008315B9">
        <w:rPr>
          <w:sz w:val="24"/>
          <w:szCs w:val="24"/>
          <w:lang w:val="es-CO"/>
        </w:rPr>
        <w:t>de la cultura de rendición de cuentas, la entidad desarrolló un espacio de sensibilización en el marco del Ciclo de Gobierno Abierto</w:t>
      </w:r>
      <w:r w:rsidR="00365392" w:rsidRPr="008315B9">
        <w:rPr>
          <w:sz w:val="24"/>
          <w:szCs w:val="24"/>
          <w:lang w:val="es-CO"/>
        </w:rPr>
        <w:t xml:space="preserve"> realizado el día 23 de agosto.</w:t>
      </w:r>
      <w:r w:rsidR="00C823ED" w:rsidRPr="008315B9">
        <w:rPr>
          <w:sz w:val="24"/>
          <w:szCs w:val="24"/>
          <w:lang w:val="es-CO"/>
        </w:rPr>
        <w:t xml:space="preserve"> Para este espacio la entidad convocó a representantes del sector hábitat para conocer y apropiar la metodología para el diseño de una </w:t>
      </w:r>
      <w:r w:rsidR="00365392" w:rsidRPr="008315B9">
        <w:rPr>
          <w:sz w:val="24"/>
          <w:szCs w:val="24"/>
          <w:lang w:val="es-CO"/>
        </w:rPr>
        <w:t>estrategia de rendición de cuentas digital, en</w:t>
      </w:r>
      <w:r w:rsidR="00C823ED" w:rsidRPr="008315B9">
        <w:rPr>
          <w:sz w:val="24"/>
          <w:szCs w:val="24"/>
          <w:lang w:val="es-CO"/>
        </w:rPr>
        <w:t xml:space="preserve"> este espacio participaron 6 servidores del sector hábitat, </w:t>
      </w:r>
      <w:r w:rsidR="00365392" w:rsidRPr="008315B9">
        <w:rPr>
          <w:sz w:val="24"/>
          <w:szCs w:val="24"/>
          <w:lang w:val="es-CO"/>
        </w:rPr>
        <w:t>el líder temático fue el Ministerio de Tecnologías de la Información y las Comunicaciones a través de Urna de Cristal</w:t>
      </w:r>
      <w:r w:rsidR="00365392">
        <w:rPr>
          <w:sz w:val="22"/>
          <w:szCs w:val="22"/>
          <w:lang w:val="es-CO"/>
        </w:rPr>
        <w:t>.</w:t>
      </w:r>
    </w:p>
    <w:p w:rsidR="00365392" w:rsidRDefault="00365392" w:rsidP="00A82DC2">
      <w:pPr>
        <w:jc w:val="both"/>
        <w:rPr>
          <w:sz w:val="22"/>
          <w:szCs w:val="22"/>
          <w:lang w:val="es-CO"/>
        </w:rPr>
      </w:pPr>
    </w:p>
    <w:p w:rsidR="00DD3B3A" w:rsidRDefault="00CF1642" w:rsidP="00CF1642">
      <w:pPr>
        <w:jc w:val="center"/>
        <w:rPr>
          <w:sz w:val="22"/>
          <w:szCs w:val="22"/>
          <w:lang w:val="es-CO"/>
        </w:rPr>
      </w:pPr>
      <w:r>
        <w:rPr>
          <w:noProof/>
          <w:sz w:val="22"/>
          <w:szCs w:val="22"/>
          <w:lang w:val="es-CO"/>
        </w:rPr>
        <w:lastRenderedPageBreak/>
        <w:drawing>
          <wp:inline distT="0" distB="0" distL="0" distR="0">
            <wp:extent cx="3108960" cy="2412871"/>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5532" cy="2433493"/>
                    </a:xfrm>
                    <a:prstGeom prst="rect">
                      <a:avLst/>
                    </a:prstGeom>
                    <a:noFill/>
                    <a:ln>
                      <a:noFill/>
                    </a:ln>
                  </pic:spPr>
                </pic:pic>
              </a:graphicData>
            </a:graphic>
          </wp:inline>
        </w:drawing>
      </w:r>
    </w:p>
    <w:p w:rsidR="00365392" w:rsidRPr="00703C3B" w:rsidRDefault="00365392" w:rsidP="00365392">
      <w:pPr>
        <w:pStyle w:val="Ttulo5"/>
        <w:jc w:val="center"/>
        <w:rPr>
          <w:sz w:val="20"/>
        </w:rPr>
      </w:pPr>
      <w:r w:rsidRPr="00703C3B">
        <w:rPr>
          <w:sz w:val="20"/>
        </w:rPr>
        <w:t>Imagen 11 Presentación rendición de Cuentas en Ciclo de Gobierno Abierto</w:t>
      </w:r>
    </w:p>
    <w:p w:rsidR="00A82DC2" w:rsidRPr="007F3BE0" w:rsidRDefault="00A82DC2" w:rsidP="00A82DC2">
      <w:pPr>
        <w:jc w:val="both"/>
        <w:rPr>
          <w:rFonts w:eastAsiaTheme="minorHAnsi"/>
          <w:sz w:val="24"/>
          <w:szCs w:val="24"/>
          <w:lang w:val="es-CO" w:eastAsia="en-US"/>
        </w:rPr>
      </w:pPr>
    </w:p>
    <w:p w:rsidR="00A82DC2" w:rsidRDefault="00A82DC2" w:rsidP="00A82DC2">
      <w:pPr>
        <w:pStyle w:val="Sinespaciado"/>
        <w:jc w:val="both"/>
        <w:rPr>
          <w:rFonts w:ascii="Times New Roman" w:hAnsi="Times New Roman" w:cs="Times New Roman"/>
          <w:sz w:val="24"/>
          <w:szCs w:val="24"/>
        </w:rPr>
      </w:pPr>
    </w:p>
    <w:p w:rsidR="00A82DC2" w:rsidRDefault="007F3BE0" w:rsidP="00A82DC2">
      <w:pPr>
        <w:pStyle w:val="Ttulo4"/>
        <w:rPr>
          <w:rFonts w:ascii="Times New Roman" w:hAnsi="Times New Roman"/>
          <w:lang w:val="es-CO"/>
        </w:rPr>
      </w:pPr>
      <w:r>
        <w:rPr>
          <w:rFonts w:ascii="Times New Roman" w:hAnsi="Times New Roman"/>
          <w:lang w:val="es-CO"/>
        </w:rPr>
        <w:t xml:space="preserve">Sensibilización a </w:t>
      </w:r>
      <w:r w:rsidR="00A82DC2" w:rsidRPr="00DD7DC4">
        <w:rPr>
          <w:rFonts w:ascii="Times New Roman" w:hAnsi="Times New Roman"/>
          <w:lang w:val="es-CO"/>
        </w:rPr>
        <w:t>servidores públicos</w:t>
      </w:r>
      <w:r w:rsidR="00A82DC2">
        <w:rPr>
          <w:rFonts w:ascii="Times New Roman" w:hAnsi="Times New Roman"/>
          <w:lang w:val="es-CO"/>
        </w:rPr>
        <w:t>:</w:t>
      </w:r>
    </w:p>
    <w:p w:rsidR="00A82DC2" w:rsidRDefault="00A82DC2" w:rsidP="00A82DC2">
      <w:pPr>
        <w:rPr>
          <w:lang w:val="es-CO"/>
        </w:rPr>
      </w:pPr>
    </w:p>
    <w:p w:rsidR="00A82DC2" w:rsidRPr="00DD7DC4" w:rsidRDefault="006C02C8" w:rsidP="00A82DC2">
      <w:pPr>
        <w:jc w:val="both"/>
        <w:rPr>
          <w:sz w:val="24"/>
          <w:szCs w:val="24"/>
          <w:lang w:val="es-CO"/>
        </w:rPr>
      </w:pPr>
      <w:r>
        <w:rPr>
          <w:sz w:val="24"/>
          <w:szCs w:val="24"/>
          <w:lang w:val="es-CO"/>
        </w:rPr>
        <w:t xml:space="preserve">Con el propósito de difundir </w:t>
      </w:r>
      <w:r w:rsidR="00B868B2">
        <w:rPr>
          <w:sz w:val="24"/>
          <w:szCs w:val="24"/>
          <w:lang w:val="es-CO"/>
        </w:rPr>
        <w:t xml:space="preserve">información relacionada con la rendición de cuentas y el rol de los servidores en este proceso, se adelantaron dos jornadas se sensibilización presencial, en las cuales se utilizó como metodología de difusión un </w:t>
      </w:r>
      <w:r w:rsidR="001436F1">
        <w:rPr>
          <w:sz w:val="24"/>
          <w:szCs w:val="24"/>
          <w:lang w:val="es-CO"/>
        </w:rPr>
        <w:t>sketch</w:t>
      </w:r>
      <w:bookmarkStart w:id="9" w:name="_GoBack"/>
      <w:bookmarkEnd w:id="9"/>
      <w:r w:rsidR="00B868B2">
        <w:rPr>
          <w:sz w:val="24"/>
          <w:szCs w:val="24"/>
          <w:lang w:val="es-CO"/>
        </w:rPr>
        <w:t xml:space="preserve"> con personificaciones que resaltaron la importancia de garantizar el acceso oportuno a la información, la generación de espacios de diálogo con los usuarios y grupos de interés, así como la participación activa de los servidores como agentes activos en la rendición de cuentas. Las jornadas </w:t>
      </w:r>
      <w:r w:rsidR="008315B9">
        <w:rPr>
          <w:sz w:val="24"/>
          <w:szCs w:val="24"/>
          <w:lang w:val="es-CO"/>
        </w:rPr>
        <w:t>de sensibilización</w:t>
      </w:r>
      <w:r w:rsidR="00B868B2">
        <w:rPr>
          <w:sz w:val="24"/>
          <w:szCs w:val="24"/>
          <w:lang w:val="es-CO"/>
        </w:rPr>
        <w:t xml:space="preserve"> se desarrollaron </w:t>
      </w:r>
      <w:r w:rsidR="00D971B2">
        <w:rPr>
          <w:sz w:val="24"/>
          <w:szCs w:val="24"/>
          <w:lang w:val="es-CO"/>
        </w:rPr>
        <w:t>en las instalaciones de la SDHT en los meses de marzo y noviembre de 2017.</w:t>
      </w:r>
    </w:p>
    <w:p w:rsidR="00A82DC2" w:rsidRDefault="00A82DC2" w:rsidP="00A82DC2">
      <w:pPr>
        <w:jc w:val="both"/>
        <w:rPr>
          <w:sz w:val="22"/>
          <w:szCs w:val="22"/>
          <w:lang w:val="es-CO"/>
        </w:rPr>
      </w:pPr>
    </w:p>
    <w:p w:rsidR="00A82DC2" w:rsidRDefault="00A82DC2" w:rsidP="00A82DC2">
      <w:pPr>
        <w:jc w:val="center"/>
        <w:rPr>
          <w:sz w:val="22"/>
          <w:szCs w:val="22"/>
          <w:lang w:val="es-CO"/>
        </w:rPr>
      </w:pPr>
    </w:p>
    <w:p w:rsidR="00D64506" w:rsidRDefault="00D64506" w:rsidP="00D64506">
      <w:pPr>
        <w:pStyle w:val="Ttulo4"/>
        <w:rPr>
          <w:rFonts w:ascii="Times New Roman" w:hAnsi="Times New Roman"/>
          <w:lang w:val="es-CO"/>
        </w:rPr>
      </w:pPr>
      <w:r>
        <w:rPr>
          <w:rFonts w:ascii="Times New Roman" w:hAnsi="Times New Roman"/>
          <w:lang w:val="es-CO"/>
        </w:rPr>
        <w:t>Reto Mejor Socializador de Rendición de Cuentas:</w:t>
      </w:r>
    </w:p>
    <w:p w:rsidR="007F3BE0" w:rsidRDefault="007F3BE0" w:rsidP="00A82DC2">
      <w:pPr>
        <w:jc w:val="center"/>
        <w:rPr>
          <w:sz w:val="22"/>
          <w:szCs w:val="22"/>
          <w:lang w:val="es-CO"/>
        </w:rPr>
      </w:pPr>
    </w:p>
    <w:p w:rsidR="00D64506" w:rsidRPr="00751451" w:rsidRDefault="00D64506" w:rsidP="00D64506">
      <w:pPr>
        <w:jc w:val="both"/>
        <w:rPr>
          <w:sz w:val="24"/>
          <w:szCs w:val="24"/>
          <w:lang w:val="es-CO"/>
        </w:rPr>
      </w:pPr>
      <w:r w:rsidRPr="00751451">
        <w:rPr>
          <w:sz w:val="24"/>
          <w:szCs w:val="24"/>
          <w:lang w:val="es-CO"/>
        </w:rPr>
        <w:t xml:space="preserve">Con el propósito </w:t>
      </w:r>
      <w:r w:rsidR="00190D6B" w:rsidRPr="00751451">
        <w:rPr>
          <w:sz w:val="24"/>
          <w:szCs w:val="24"/>
          <w:lang w:val="es-CO"/>
        </w:rPr>
        <w:t xml:space="preserve">de impulsar la participación </w:t>
      </w:r>
      <w:r w:rsidR="00AE5ECC" w:rsidRPr="00751451">
        <w:rPr>
          <w:sz w:val="24"/>
          <w:szCs w:val="24"/>
          <w:lang w:val="es-CO"/>
        </w:rPr>
        <w:t xml:space="preserve">de los servidores en el desarrollo de la Rendición de Cuentas, se adelantó en la Secretaría un reto de gamificación relacionado con la divulgación de rendición de cuentas. Este reto generó incentivos para el desarrollo de un video, para difundir por redes sociales, en la cual se promoviera la participación en el espacio de rendición de cuentas virtual.  El reconocimiento al ganador de este reto consistió en la entrega de un diploma que lo identifica como Mejor Socializador de Rendición de Cuentas. </w:t>
      </w:r>
    </w:p>
    <w:p w:rsidR="00D64506" w:rsidRPr="00751451" w:rsidRDefault="00D64506" w:rsidP="00D64506">
      <w:pPr>
        <w:jc w:val="both"/>
        <w:rPr>
          <w:sz w:val="24"/>
          <w:szCs w:val="24"/>
          <w:lang w:val="es-CO"/>
        </w:rPr>
      </w:pPr>
    </w:p>
    <w:p w:rsidR="007F3BE0" w:rsidRDefault="007F3BE0" w:rsidP="00A82DC2">
      <w:pPr>
        <w:jc w:val="center"/>
        <w:rPr>
          <w:sz w:val="22"/>
          <w:szCs w:val="22"/>
          <w:lang w:val="es-CO"/>
        </w:rPr>
      </w:pPr>
    </w:p>
    <w:p w:rsidR="00A82DC2" w:rsidRPr="0001785C" w:rsidRDefault="00AE5ECC" w:rsidP="00A82DC2">
      <w:pPr>
        <w:pStyle w:val="Ttulo1"/>
        <w:jc w:val="left"/>
        <w:rPr>
          <w:rFonts w:ascii="Times New Roman" w:hAnsi="Times New Roman"/>
          <w:lang w:val="es-CO"/>
        </w:rPr>
      </w:pPr>
      <w:bookmarkStart w:id="10" w:name="_Toc504666513"/>
      <w:r>
        <w:rPr>
          <w:rFonts w:ascii="Times New Roman" w:hAnsi="Times New Roman"/>
          <w:lang w:val="es-CO"/>
        </w:rPr>
        <w:t>Fortalezas</w:t>
      </w:r>
      <w:bookmarkEnd w:id="10"/>
      <w:r>
        <w:rPr>
          <w:rFonts w:ascii="Times New Roman" w:hAnsi="Times New Roman"/>
          <w:lang w:val="es-CO"/>
        </w:rPr>
        <w:t xml:space="preserve"> </w:t>
      </w:r>
    </w:p>
    <w:p w:rsidR="007E1826" w:rsidRPr="00751451" w:rsidRDefault="00A82DC2" w:rsidP="00A82DC2">
      <w:pPr>
        <w:jc w:val="both"/>
        <w:rPr>
          <w:sz w:val="24"/>
          <w:szCs w:val="24"/>
          <w:lang w:val="es-CO"/>
        </w:rPr>
      </w:pPr>
      <w:r w:rsidRPr="00751451">
        <w:rPr>
          <w:sz w:val="24"/>
          <w:szCs w:val="24"/>
          <w:lang w:val="es-CO"/>
        </w:rPr>
        <w:t xml:space="preserve">Con </w:t>
      </w:r>
      <w:r w:rsidR="007E1826" w:rsidRPr="00751451">
        <w:rPr>
          <w:sz w:val="24"/>
          <w:szCs w:val="24"/>
          <w:lang w:val="es-CO"/>
        </w:rPr>
        <w:t xml:space="preserve">el desarrollo de las acciones de Rendición de Cuentas 2017, la entidad fortaleció </w:t>
      </w:r>
      <w:r w:rsidR="00203B75" w:rsidRPr="00751451">
        <w:rPr>
          <w:sz w:val="24"/>
          <w:szCs w:val="24"/>
          <w:lang w:val="es-CO"/>
        </w:rPr>
        <w:t xml:space="preserve">los espacios de preparación para las fases de la rendición de cuentas sectorial y virtual. Esto permitió contar con información oportuna para la divulgación de informes, formularios de </w:t>
      </w:r>
      <w:r w:rsidR="00203B75" w:rsidRPr="00751451">
        <w:rPr>
          <w:sz w:val="24"/>
          <w:szCs w:val="24"/>
          <w:lang w:val="es-CO"/>
        </w:rPr>
        <w:lastRenderedPageBreak/>
        <w:t>consulta, preparación y seguimiento a la convocatoria. Así mismo, permitió articular esfuerzos con las entidades adscritas al sector, lo cual es elemento favorable para la colaboración armónica</w:t>
      </w:r>
      <w:r w:rsidR="00D83CD8" w:rsidRPr="00751451">
        <w:rPr>
          <w:sz w:val="24"/>
          <w:szCs w:val="24"/>
          <w:lang w:val="es-CO"/>
        </w:rPr>
        <w:t xml:space="preserve"> del sector</w:t>
      </w:r>
      <w:r w:rsidR="00203B75" w:rsidRPr="00751451">
        <w:rPr>
          <w:sz w:val="24"/>
          <w:szCs w:val="24"/>
          <w:lang w:val="es-CO"/>
        </w:rPr>
        <w:t xml:space="preserve"> y para los usuarios </w:t>
      </w:r>
      <w:r w:rsidR="00D83CD8" w:rsidRPr="00751451">
        <w:rPr>
          <w:sz w:val="24"/>
          <w:szCs w:val="24"/>
          <w:lang w:val="es-CO"/>
        </w:rPr>
        <w:t xml:space="preserve">para quienes se facilitó información relevante de la gestión del hábitat </w:t>
      </w:r>
      <w:r w:rsidR="00203B75" w:rsidRPr="00751451">
        <w:rPr>
          <w:sz w:val="24"/>
          <w:szCs w:val="24"/>
          <w:lang w:val="es-CO"/>
        </w:rPr>
        <w:t>en un mismo espacio de rendición de cuentas.</w:t>
      </w:r>
    </w:p>
    <w:p w:rsidR="00A82DC2" w:rsidRPr="00751451" w:rsidRDefault="00A82DC2" w:rsidP="00A82DC2">
      <w:pPr>
        <w:jc w:val="both"/>
        <w:rPr>
          <w:sz w:val="24"/>
          <w:szCs w:val="24"/>
          <w:lang w:val="es-CO"/>
        </w:rPr>
      </w:pPr>
    </w:p>
    <w:p w:rsidR="00A82DC2" w:rsidRPr="00751451" w:rsidRDefault="00203B75" w:rsidP="00A82DC2">
      <w:pPr>
        <w:jc w:val="both"/>
        <w:rPr>
          <w:sz w:val="24"/>
          <w:szCs w:val="24"/>
          <w:lang w:val="es-CO"/>
        </w:rPr>
      </w:pPr>
      <w:r w:rsidRPr="00751451">
        <w:rPr>
          <w:sz w:val="24"/>
          <w:szCs w:val="24"/>
          <w:lang w:val="es-CO"/>
        </w:rPr>
        <w:t>Hacer uso de medios digitales como canal de rendición de cuentas, demostró a partir de los resultados de los participantes, la eficiencia para la e</w:t>
      </w:r>
      <w:r w:rsidR="00D83CD8" w:rsidRPr="00751451">
        <w:rPr>
          <w:sz w:val="24"/>
          <w:szCs w:val="24"/>
          <w:lang w:val="es-CO"/>
        </w:rPr>
        <w:t>ntrega la priorización temática, la formulación de preguntas y la facilidad para la participación a través de diferentes canales. El uso de medios digitales se constituyó en un gran acierto para fortalecer el gobierno digital en la entidad.</w:t>
      </w:r>
    </w:p>
    <w:p w:rsidR="00A81C39" w:rsidRPr="00751451" w:rsidRDefault="00A81C39" w:rsidP="00A82DC2">
      <w:pPr>
        <w:jc w:val="both"/>
        <w:rPr>
          <w:sz w:val="24"/>
          <w:szCs w:val="24"/>
          <w:lang w:val="es-CO"/>
        </w:rPr>
      </w:pPr>
    </w:p>
    <w:p w:rsidR="00A81C39" w:rsidRPr="00751451" w:rsidRDefault="00A81C39" w:rsidP="00A82DC2">
      <w:pPr>
        <w:jc w:val="both"/>
        <w:rPr>
          <w:sz w:val="24"/>
          <w:szCs w:val="24"/>
          <w:lang w:val="es-CO"/>
        </w:rPr>
      </w:pPr>
      <w:r w:rsidRPr="00751451">
        <w:rPr>
          <w:sz w:val="24"/>
          <w:szCs w:val="24"/>
          <w:lang w:val="es-CO"/>
        </w:rPr>
        <w:t>La participación de las mesas de pactos se constituye en una fortaleza para la entidad, ya que, por los resultados obtenidos en estos espacios de intercambio de información, la Secretaría se consolida como un referente de acceso oportuno a la información. Participar de estos espacios, genera credibilidad institucional y acercamiento a sus usuarios y grupos de interés.</w:t>
      </w:r>
    </w:p>
    <w:p w:rsidR="00D83CD8" w:rsidRPr="00751451" w:rsidRDefault="00D83CD8" w:rsidP="00A82DC2">
      <w:pPr>
        <w:jc w:val="both"/>
        <w:rPr>
          <w:sz w:val="24"/>
          <w:szCs w:val="24"/>
          <w:lang w:val="es-CO"/>
        </w:rPr>
      </w:pPr>
    </w:p>
    <w:p w:rsidR="00A82DC2" w:rsidRDefault="00D83CD8" w:rsidP="00DE21C8">
      <w:pPr>
        <w:pStyle w:val="Ttulo1"/>
        <w:jc w:val="left"/>
        <w:rPr>
          <w:rFonts w:ascii="Times New Roman" w:hAnsi="Times New Roman"/>
          <w:lang w:val="es-CO"/>
        </w:rPr>
      </w:pPr>
      <w:bookmarkStart w:id="11" w:name="_Toc504666514"/>
      <w:r w:rsidRPr="00DE21C8">
        <w:rPr>
          <w:rFonts w:ascii="Times New Roman" w:hAnsi="Times New Roman"/>
          <w:lang w:val="es-CO"/>
        </w:rPr>
        <w:t>Debilidades</w:t>
      </w:r>
      <w:bookmarkEnd w:id="11"/>
    </w:p>
    <w:p w:rsidR="00DE21C8" w:rsidRDefault="00A81C39" w:rsidP="00192D98">
      <w:pPr>
        <w:jc w:val="both"/>
        <w:rPr>
          <w:sz w:val="24"/>
          <w:szCs w:val="24"/>
          <w:lang w:val="es-CO"/>
        </w:rPr>
      </w:pPr>
      <w:r w:rsidRPr="00192D98">
        <w:rPr>
          <w:sz w:val="24"/>
          <w:szCs w:val="24"/>
          <w:lang w:val="es-CO"/>
        </w:rPr>
        <w:t xml:space="preserve">Como elementos a mejorar, se señala la oportunidad en la generación de respuestas a las preguntas </w:t>
      </w:r>
      <w:r w:rsidR="00192D98" w:rsidRPr="00192D98">
        <w:rPr>
          <w:sz w:val="24"/>
          <w:szCs w:val="24"/>
          <w:lang w:val="es-CO"/>
        </w:rPr>
        <w:t>formuladas en los espacios de rendición de cuentas, ya que los tiempos en los cuales las áreas o entidades remiten la información</w:t>
      </w:r>
      <w:r w:rsidR="007D7644">
        <w:rPr>
          <w:sz w:val="24"/>
          <w:szCs w:val="24"/>
          <w:lang w:val="es-CO"/>
        </w:rPr>
        <w:t>,</w:t>
      </w:r>
      <w:r w:rsidR="00192D98" w:rsidRPr="00192D98">
        <w:rPr>
          <w:sz w:val="24"/>
          <w:szCs w:val="24"/>
          <w:lang w:val="es-CO"/>
        </w:rPr>
        <w:t xml:space="preserve"> no garantiza el cumplimiento de los tiempos de respuesta </w:t>
      </w:r>
      <w:r w:rsidR="007D7644">
        <w:rPr>
          <w:sz w:val="24"/>
          <w:szCs w:val="24"/>
          <w:lang w:val="es-CO"/>
        </w:rPr>
        <w:t>establecidos como</w:t>
      </w:r>
      <w:r w:rsidR="00192D98" w:rsidRPr="00192D98">
        <w:rPr>
          <w:sz w:val="24"/>
          <w:szCs w:val="24"/>
          <w:lang w:val="es-CO"/>
        </w:rPr>
        <w:t xml:space="preserve"> derecho al acceso a la información.</w:t>
      </w:r>
    </w:p>
    <w:p w:rsidR="007D7644" w:rsidRDefault="007D7644" w:rsidP="00192D98">
      <w:pPr>
        <w:jc w:val="both"/>
        <w:rPr>
          <w:sz w:val="24"/>
          <w:szCs w:val="24"/>
          <w:lang w:val="es-CO"/>
        </w:rPr>
      </w:pPr>
    </w:p>
    <w:p w:rsidR="007D7644" w:rsidRPr="00192D98" w:rsidRDefault="007D7644" w:rsidP="00192D98">
      <w:pPr>
        <w:jc w:val="both"/>
        <w:rPr>
          <w:sz w:val="24"/>
          <w:szCs w:val="24"/>
          <w:lang w:val="es-CO"/>
        </w:rPr>
      </w:pPr>
      <w:r>
        <w:rPr>
          <w:sz w:val="24"/>
          <w:szCs w:val="24"/>
          <w:lang w:val="es-CO"/>
        </w:rPr>
        <w:t>Es necesario, adelantar acciones que permitan enfocar la rendición de cuentas, de acuerdo con los intereses y particularidades de los usuarios y grupos de valor, es necesario identificar en la caracterización y solicitudes de acceso a la información, los intereses más recurrentes de los usuarios, y así organizar los espacios de rendición de cuentas con un enfoque centrado en el usuario.</w:t>
      </w:r>
    </w:p>
    <w:p w:rsidR="00DE21C8" w:rsidRDefault="00DE21C8" w:rsidP="00DE21C8">
      <w:pPr>
        <w:rPr>
          <w:lang w:val="es-CO"/>
        </w:rPr>
      </w:pPr>
    </w:p>
    <w:p w:rsidR="003F2FAE" w:rsidRPr="003F2FAE" w:rsidRDefault="003F2FAE" w:rsidP="003F2FAE">
      <w:pPr>
        <w:jc w:val="both"/>
        <w:rPr>
          <w:sz w:val="24"/>
          <w:szCs w:val="24"/>
          <w:lang w:val="es-CO"/>
        </w:rPr>
      </w:pPr>
      <w:r w:rsidRPr="003F2FAE">
        <w:rPr>
          <w:sz w:val="24"/>
          <w:szCs w:val="24"/>
          <w:lang w:val="es-CO"/>
        </w:rPr>
        <w:t xml:space="preserve">Para el desarrollo de </w:t>
      </w:r>
      <w:r>
        <w:rPr>
          <w:sz w:val="24"/>
          <w:szCs w:val="24"/>
          <w:lang w:val="es-CO"/>
        </w:rPr>
        <w:t>las acciones de diálogo</w:t>
      </w:r>
      <w:r w:rsidRPr="003F2FAE">
        <w:rPr>
          <w:sz w:val="24"/>
          <w:szCs w:val="24"/>
          <w:lang w:val="es-CO"/>
        </w:rPr>
        <w:t xml:space="preserve">, es necesario </w:t>
      </w:r>
      <w:r>
        <w:rPr>
          <w:sz w:val="24"/>
          <w:szCs w:val="24"/>
          <w:lang w:val="es-CO"/>
        </w:rPr>
        <w:t>garantizar espacios físicos amplios para el caso de convocatorias presenciales y de carácter sectorial, que permita</w:t>
      </w:r>
      <w:r w:rsidR="0055260A">
        <w:rPr>
          <w:sz w:val="24"/>
          <w:szCs w:val="24"/>
          <w:lang w:val="es-CO"/>
        </w:rPr>
        <w:t>n</w:t>
      </w:r>
      <w:r>
        <w:rPr>
          <w:sz w:val="24"/>
          <w:szCs w:val="24"/>
          <w:lang w:val="es-CO"/>
        </w:rPr>
        <w:t xml:space="preserve"> a los participantes una buena atención y comodidad en el espacio convocado.</w:t>
      </w:r>
    </w:p>
    <w:sectPr w:rsidR="003F2FAE" w:rsidRPr="003F2FAE" w:rsidSect="00A47390">
      <w:headerReference w:type="default" r:id="rId20"/>
      <w:footerReference w:type="default" r:id="rId21"/>
      <w:headerReference w:type="first" r:id="rId22"/>
      <w:footerReference w:type="first" r:id="rId23"/>
      <w:pgSz w:w="12242" w:h="15842" w:code="126"/>
      <w:pgMar w:top="1701" w:right="1701" w:bottom="1701" w:left="1701"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0E8E" w:rsidRDefault="00600E8E">
      <w:r>
        <w:separator/>
      </w:r>
    </w:p>
  </w:endnote>
  <w:endnote w:type="continuationSeparator" w:id="0">
    <w:p w:rsidR="00600E8E" w:rsidRDefault="00600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utura Bk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Kalinga">
    <w:altName w:val="Kalinga"/>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D98" w:rsidRDefault="00192D98">
    <w:pPr>
      <w:pStyle w:val="Piedepgina"/>
    </w:pPr>
    <w:r>
      <w:rPr>
        <w:noProof/>
        <w:lang w:val="es-CO" w:eastAsia="es-CO"/>
      </w:rPr>
      <w:drawing>
        <wp:inline distT="0" distB="0" distL="0" distR="0">
          <wp:extent cx="5608541" cy="7181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_bogota_humana_sin_sellos.png"/>
                  <pic:cNvPicPr/>
                </pic:nvPicPr>
                <pic:blipFill>
                  <a:blip r:embed="rId1">
                    <a:extLst>
                      <a:ext uri="{28A0092B-C50C-407E-A947-70E740481C1C}">
                        <a14:useLocalDpi xmlns:a14="http://schemas.microsoft.com/office/drawing/2010/main" val="0"/>
                      </a:ext>
                    </a:extLst>
                  </a:blip>
                  <a:stretch>
                    <a:fillRect/>
                  </a:stretch>
                </pic:blipFill>
                <pic:spPr>
                  <a:xfrm>
                    <a:off x="0" y="0"/>
                    <a:ext cx="5608541" cy="71818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2962"/>
      <w:gridCol w:w="3265"/>
    </w:tblGrid>
    <w:tr w:rsidR="00192D98" w:rsidRPr="00C3357A" w:rsidTr="00A82DC2">
      <w:trPr>
        <w:jc w:val="center"/>
      </w:trPr>
      <w:tc>
        <w:tcPr>
          <w:tcW w:w="2943" w:type="dxa"/>
          <w:vAlign w:val="center"/>
        </w:tcPr>
        <w:p w:rsidR="00192D98" w:rsidRDefault="00192D98" w:rsidP="00A82DC2">
          <w:pPr>
            <w:pStyle w:val="Piedepgina"/>
            <w:tabs>
              <w:tab w:val="clear" w:pos="4252"/>
              <w:tab w:val="clear" w:pos="8504"/>
              <w:tab w:val="left" w:pos="2775"/>
            </w:tabs>
            <w:rPr>
              <w:rFonts w:ascii="Arial" w:hAnsi="Arial" w:cs="Arial"/>
              <w:sz w:val="18"/>
              <w:szCs w:val="18"/>
            </w:rPr>
          </w:pPr>
          <w:r w:rsidRPr="00C3357A">
            <w:rPr>
              <w:rFonts w:ascii="Arial" w:hAnsi="Arial" w:cs="Arial"/>
              <w:sz w:val="18"/>
              <w:szCs w:val="18"/>
            </w:rPr>
            <w:t>Cl 52 No. 13-64</w:t>
          </w:r>
        </w:p>
        <w:p w:rsidR="00192D98" w:rsidRDefault="00192D98" w:rsidP="00B8439D">
          <w:pPr>
            <w:pStyle w:val="Piedepgina"/>
            <w:tabs>
              <w:tab w:val="left" w:pos="2775"/>
            </w:tabs>
            <w:rPr>
              <w:rFonts w:ascii="Arial" w:hAnsi="Arial" w:cs="Arial"/>
              <w:sz w:val="18"/>
              <w:szCs w:val="18"/>
            </w:rPr>
          </w:pPr>
          <w:r>
            <w:rPr>
              <w:rFonts w:ascii="Arial" w:hAnsi="Arial" w:cs="Arial"/>
              <w:sz w:val="18"/>
              <w:szCs w:val="18"/>
            </w:rPr>
            <w:t>Código Postal 110231</w:t>
          </w:r>
        </w:p>
        <w:p w:rsidR="00192D98" w:rsidRPr="00C3357A" w:rsidRDefault="00192D98" w:rsidP="00A82DC2">
          <w:pPr>
            <w:pStyle w:val="Piedepgina"/>
            <w:tabs>
              <w:tab w:val="clear" w:pos="4252"/>
              <w:tab w:val="clear" w:pos="8504"/>
              <w:tab w:val="left" w:pos="2775"/>
            </w:tabs>
            <w:rPr>
              <w:rFonts w:ascii="Arial" w:hAnsi="Arial" w:cs="Arial"/>
              <w:sz w:val="18"/>
              <w:szCs w:val="18"/>
            </w:rPr>
          </w:pPr>
          <w:r w:rsidRPr="00C3357A">
            <w:rPr>
              <w:rFonts w:ascii="Arial" w:hAnsi="Arial" w:cs="Arial"/>
              <w:sz w:val="18"/>
              <w:szCs w:val="18"/>
            </w:rPr>
            <w:t>Tel. 3581600</w:t>
          </w:r>
        </w:p>
        <w:p w:rsidR="00192D98" w:rsidRPr="00C3357A" w:rsidRDefault="00600E8E" w:rsidP="00A82DC2">
          <w:pPr>
            <w:pStyle w:val="Piedepgina"/>
            <w:tabs>
              <w:tab w:val="clear" w:pos="4252"/>
              <w:tab w:val="clear" w:pos="8504"/>
              <w:tab w:val="left" w:pos="2775"/>
            </w:tabs>
            <w:rPr>
              <w:rFonts w:ascii="Arial" w:hAnsi="Arial" w:cs="Arial"/>
              <w:sz w:val="18"/>
              <w:szCs w:val="18"/>
            </w:rPr>
          </w:pPr>
          <w:hyperlink r:id="rId1" w:history="1">
            <w:r w:rsidR="00192D98" w:rsidRPr="00C3357A">
              <w:rPr>
                <w:rStyle w:val="Hipervnculo"/>
                <w:rFonts w:ascii="Arial" w:hAnsi="Arial" w:cs="Arial"/>
                <w:sz w:val="18"/>
                <w:szCs w:val="18"/>
              </w:rPr>
              <w:t>www.habitatbogota.gov.co</w:t>
            </w:r>
          </w:hyperlink>
        </w:p>
      </w:tc>
      <w:tc>
        <w:tcPr>
          <w:tcW w:w="3585" w:type="dxa"/>
          <w:vAlign w:val="center"/>
        </w:tcPr>
        <w:p w:rsidR="00192D98" w:rsidRPr="00C3357A" w:rsidRDefault="00192D98" w:rsidP="00A82DC2">
          <w:pPr>
            <w:pStyle w:val="Piedepgina"/>
            <w:tabs>
              <w:tab w:val="clear" w:pos="4252"/>
              <w:tab w:val="clear" w:pos="8504"/>
              <w:tab w:val="left" w:pos="2775"/>
            </w:tabs>
            <w:rPr>
              <w:rFonts w:ascii="Arial" w:hAnsi="Arial" w:cs="Arial"/>
              <w:sz w:val="18"/>
              <w:szCs w:val="18"/>
            </w:rPr>
          </w:pPr>
        </w:p>
      </w:tc>
      <w:tc>
        <w:tcPr>
          <w:tcW w:w="3586" w:type="dxa"/>
          <w:vAlign w:val="center"/>
        </w:tcPr>
        <w:p w:rsidR="00192D98" w:rsidRPr="00C3357A" w:rsidRDefault="00192D98" w:rsidP="00A82DC2">
          <w:pPr>
            <w:pStyle w:val="Piedepgina"/>
            <w:tabs>
              <w:tab w:val="clear" w:pos="4252"/>
              <w:tab w:val="clear" w:pos="8504"/>
              <w:tab w:val="left" w:pos="2775"/>
            </w:tabs>
            <w:jc w:val="right"/>
            <w:rPr>
              <w:rFonts w:ascii="Arial" w:hAnsi="Arial" w:cs="Arial"/>
              <w:sz w:val="18"/>
              <w:szCs w:val="18"/>
            </w:rPr>
          </w:pPr>
          <w:r w:rsidRPr="008C7F1B">
            <w:rPr>
              <w:rFonts w:ascii="Arial" w:hAnsi="Arial" w:cs="Arial"/>
              <w:noProof/>
              <w:sz w:val="18"/>
              <w:szCs w:val="18"/>
              <w:lang w:val="es-CO" w:eastAsia="es-CO"/>
            </w:rPr>
            <w:drawing>
              <wp:inline distT="0" distB="0" distL="0" distR="0" wp14:anchorId="116F3DAC" wp14:editId="739DA32F">
                <wp:extent cx="1042035" cy="656096"/>
                <wp:effectExtent l="0" t="0" r="0" b="0"/>
                <wp:docPr id="1" name="Imagen 1" descr="C:\Documents and Settings\DIANA\Mis documentos\trabajos 2012\logos\logo bogota humana\Alcaldia_BogotaHumana-01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IANA\Mis documentos\trabajos 2012\logos\logo bogota humana\Alcaldia_BogotaHumana-01solo.jpg"/>
                        <pic:cNvPicPr>
                          <a:picLocks noChangeAspect="1" noChangeArrowheads="1"/>
                        </pic:cNvPicPr>
                      </pic:nvPicPr>
                      <pic:blipFill>
                        <a:blip r:embed="rId2"/>
                        <a:srcRect/>
                        <a:stretch>
                          <a:fillRect/>
                        </a:stretch>
                      </pic:blipFill>
                      <pic:spPr bwMode="auto">
                        <a:xfrm>
                          <a:off x="0" y="0"/>
                          <a:ext cx="1042935" cy="656663"/>
                        </a:xfrm>
                        <a:prstGeom prst="rect">
                          <a:avLst/>
                        </a:prstGeom>
                        <a:noFill/>
                        <a:ln w="9525">
                          <a:noFill/>
                          <a:miter lim="800000"/>
                          <a:headEnd/>
                          <a:tailEnd/>
                        </a:ln>
                      </pic:spPr>
                    </pic:pic>
                  </a:graphicData>
                </a:graphic>
              </wp:inline>
            </w:drawing>
          </w:r>
        </w:p>
      </w:tc>
    </w:tr>
  </w:tbl>
  <w:p w:rsidR="00192D98" w:rsidRPr="00B504C8" w:rsidRDefault="00192D98" w:rsidP="00233A7A">
    <w:pPr>
      <w:pStyle w:val="Piedepgina"/>
    </w:pPr>
  </w:p>
  <w:p w:rsidR="00192D98" w:rsidRPr="00233A7A" w:rsidRDefault="00192D98" w:rsidP="00233A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0E8E" w:rsidRDefault="00600E8E">
      <w:r>
        <w:separator/>
      </w:r>
    </w:p>
  </w:footnote>
  <w:footnote w:type="continuationSeparator" w:id="0">
    <w:p w:rsidR="00600E8E" w:rsidRDefault="00600E8E">
      <w:r>
        <w:continuationSeparator/>
      </w:r>
    </w:p>
  </w:footnote>
  <w:footnote w:id="1">
    <w:p w:rsidR="00192D98" w:rsidRPr="00300EF4" w:rsidRDefault="00192D98" w:rsidP="00A82DC2">
      <w:pPr>
        <w:pStyle w:val="Textonotapie"/>
        <w:jc w:val="both"/>
      </w:pPr>
      <w:r w:rsidRPr="00300EF4">
        <w:rPr>
          <w:rStyle w:val="Refdenotaalpie"/>
        </w:rPr>
        <w:footnoteRef/>
      </w:r>
      <w:r w:rsidRPr="00300EF4">
        <w:t xml:space="preserve"> </w:t>
      </w:r>
      <w:r>
        <w:t xml:space="preserve">Congreso de la República. </w:t>
      </w:r>
      <w:r w:rsidRPr="00300EF4">
        <w:t>Ley 1757 de 2015 “Por la cual se dictan disposiciones en materia de promoción y protección del derecho a la participación democrática. Título IV. Capítulo I. Artículo 48.</w:t>
      </w:r>
    </w:p>
  </w:footnote>
  <w:footnote w:id="2">
    <w:p w:rsidR="00192D98" w:rsidRPr="00225F8D" w:rsidRDefault="00192D98" w:rsidP="00A82DC2">
      <w:pPr>
        <w:pStyle w:val="Textonotapie"/>
        <w:rPr>
          <w:lang w:val="es-CO"/>
        </w:rPr>
      </w:pPr>
      <w:r>
        <w:rPr>
          <w:rStyle w:val="Refdenotaalpie"/>
        </w:rPr>
        <w:footnoteRef/>
      </w:r>
      <w:r>
        <w:t xml:space="preserve"> </w:t>
      </w:r>
      <w:r w:rsidRPr="00225F8D">
        <w:rPr>
          <w:rFonts w:hint="eastAsia"/>
        </w:rPr>
        <w:t xml:space="preserve">Tomado del Manual Único de </w:t>
      </w:r>
      <w:r>
        <w:rPr>
          <w:rFonts w:hint="eastAsia"/>
        </w:rPr>
        <w:t>Rendición de Cuentas (DAFP-DNP)</w:t>
      </w:r>
    </w:p>
  </w:footnote>
  <w:footnote w:id="3">
    <w:p w:rsidR="00192D98" w:rsidRPr="00AE2077" w:rsidRDefault="00192D98" w:rsidP="00A82DC2">
      <w:pPr>
        <w:pStyle w:val="Textonotapie"/>
        <w:rPr>
          <w:lang w:val="es-CO"/>
        </w:rPr>
      </w:pPr>
      <w:r>
        <w:rPr>
          <w:rStyle w:val="Refdenotaalpie"/>
        </w:rPr>
        <w:footnoteRef/>
      </w:r>
      <w:r>
        <w:t xml:space="preserve"> </w:t>
      </w:r>
      <w:r>
        <w:rPr>
          <w:lang w:val="es-CO"/>
        </w:rPr>
        <w:t>Objetivo de la rendición de cuentas en documento Estrategia de Rendición de Cuentas de la SDHT.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D98" w:rsidRDefault="00192D98" w:rsidP="00F101AD">
    <w:pPr>
      <w:jc w:val="center"/>
      <w:rPr>
        <w:sz w:val="22"/>
        <w:szCs w:val="22"/>
      </w:rPr>
    </w:pPr>
    <w:r>
      <w:rPr>
        <w:noProof/>
        <w:sz w:val="22"/>
        <w:szCs w:val="22"/>
        <w:lang w:val="es-CO" w:eastAsia="es-CO"/>
      </w:rPr>
      <w:drawing>
        <wp:inline distT="0" distB="0" distL="0" distR="0" wp14:anchorId="5A92F5E9" wp14:editId="52F0E434">
          <wp:extent cx="632325" cy="7200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_bogota_bn.jpg"/>
                  <pic:cNvPicPr/>
                </pic:nvPicPr>
                <pic:blipFill>
                  <a:blip r:embed="rId1">
                    <a:extLst>
                      <a:ext uri="{28A0092B-C50C-407E-A947-70E740481C1C}">
                        <a14:useLocalDpi xmlns:a14="http://schemas.microsoft.com/office/drawing/2010/main" val="0"/>
                      </a:ext>
                    </a:extLst>
                  </a:blip>
                  <a:stretch>
                    <a:fillRect/>
                  </a:stretch>
                </pic:blipFill>
                <pic:spPr>
                  <a:xfrm>
                    <a:off x="0" y="0"/>
                    <a:ext cx="632325" cy="720000"/>
                  </a:xfrm>
                  <a:prstGeom prst="rect">
                    <a:avLst/>
                  </a:prstGeom>
                </pic:spPr>
              </pic:pic>
            </a:graphicData>
          </a:graphic>
        </wp:inline>
      </w:drawing>
    </w:r>
  </w:p>
  <w:p w:rsidR="00192D98" w:rsidRDefault="00192D98" w:rsidP="00F101AD">
    <w:pPr>
      <w:jc w:val="center"/>
      <w:rPr>
        <w:sz w:val="22"/>
        <w:szCs w:val="22"/>
      </w:rPr>
    </w:pPr>
  </w:p>
  <w:p w:rsidR="00192D98" w:rsidRPr="00C9184A" w:rsidRDefault="00192D98" w:rsidP="00F101AD">
    <w:pPr>
      <w:rPr>
        <w:lang w:val="es-ES"/>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D98" w:rsidRPr="00B815B9" w:rsidRDefault="00192D98" w:rsidP="00AD72E7">
    <w:pPr>
      <w:pStyle w:val="Encabezado"/>
      <w:jc w:val="center"/>
      <w:rPr>
        <w:sz w:val="22"/>
        <w:szCs w:val="22"/>
        <w:lang w:val="es-ES"/>
      </w:rPr>
    </w:pPr>
    <w:r>
      <w:rPr>
        <w:noProof/>
        <w:sz w:val="22"/>
        <w:szCs w:val="22"/>
        <w:lang w:val="es-CO" w:eastAsia="es-CO"/>
      </w:rPr>
      <w:drawing>
        <wp:inline distT="0" distB="0" distL="0" distR="0" wp14:anchorId="72FE11FC" wp14:editId="1804F672">
          <wp:extent cx="851408" cy="822960"/>
          <wp:effectExtent l="19050" t="0" r="5842" b="0"/>
          <wp:docPr id="4" name="3 Imagen" descr="Logo SD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DHT.JPG"/>
                  <pic:cNvPicPr/>
                </pic:nvPicPr>
                <pic:blipFill>
                  <a:blip r:embed="rId1"/>
                  <a:stretch>
                    <a:fillRect/>
                  </a:stretch>
                </pic:blipFill>
                <pic:spPr>
                  <a:xfrm>
                    <a:off x="0" y="0"/>
                    <a:ext cx="851408" cy="822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16FA8"/>
    <w:multiLevelType w:val="hybridMultilevel"/>
    <w:tmpl w:val="068A2A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006E9A"/>
    <w:multiLevelType w:val="hybridMultilevel"/>
    <w:tmpl w:val="75245E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1A183B"/>
    <w:multiLevelType w:val="hybridMultilevel"/>
    <w:tmpl w:val="8A36D378"/>
    <w:lvl w:ilvl="0" w:tplc="3F2CDB3A">
      <w:start w:val="1"/>
      <w:numFmt w:val="bullet"/>
      <w:lvlText w:val="•"/>
      <w:lvlJc w:val="left"/>
      <w:pPr>
        <w:tabs>
          <w:tab w:val="num" w:pos="360"/>
        </w:tabs>
        <w:ind w:left="360" w:hanging="360"/>
      </w:pPr>
      <w:rPr>
        <w:rFonts w:ascii="Arial" w:hAnsi="Arial" w:hint="default"/>
      </w:rPr>
    </w:lvl>
    <w:lvl w:ilvl="1" w:tplc="CF1AA270" w:tentative="1">
      <w:start w:val="1"/>
      <w:numFmt w:val="bullet"/>
      <w:lvlText w:val="•"/>
      <w:lvlJc w:val="left"/>
      <w:pPr>
        <w:tabs>
          <w:tab w:val="num" w:pos="1080"/>
        </w:tabs>
        <w:ind w:left="1080" w:hanging="360"/>
      </w:pPr>
      <w:rPr>
        <w:rFonts w:ascii="Arial" w:hAnsi="Arial" w:hint="default"/>
      </w:rPr>
    </w:lvl>
    <w:lvl w:ilvl="2" w:tplc="19BC972A" w:tentative="1">
      <w:start w:val="1"/>
      <w:numFmt w:val="bullet"/>
      <w:lvlText w:val="•"/>
      <w:lvlJc w:val="left"/>
      <w:pPr>
        <w:tabs>
          <w:tab w:val="num" w:pos="1800"/>
        </w:tabs>
        <w:ind w:left="1800" w:hanging="360"/>
      </w:pPr>
      <w:rPr>
        <w:rFonts w:ascii="Arial" w:hAnsi="Arial" w:hint="default"/>
      </w:rPr>
    </w:lvl>
    <w:lvl w:ilvl="3" w:tplc="C1F0A4DE" w:tentative="1">
      <w:start w:val="1"/>
      <w:numFmt w:val="bullet"/>
      <w:lvlText w:val="•"/>
      <w:lvlJc w:val="left"/>
      <w:pPr>
        <w:tabs>
          <w:tab w:val="num" w:pos="2520"/>
        </w:tabs>
        <w:ind w:left="2520" w:hanging="360"/>
      </w:pPr>
      <w:rPr>
        <w:rFonts w:ascii="Arial" w:hAnsi="Arial" w:hint="default"/>
      </w:rPr>
    </w:lvl>
    <w:lvl w:ilvl="4" w:tplc="865ABF5A" w:tentative="1">
      <w:start w:val="1"/>
      <w:numFmt w:val="bullet"/>
      <w:lvlText w:val="•"/>
      <w:lvlJc w:val="left"/>
      <w:pPr>
        <w:tabs>
          <w:tab w:val="num" w:pos="3240"/>
        </w:tabs>
        <w:ind w:left="3240" w:hanging="360"/>
      </w:pPr>
      <w:rPr>
        <w:rFonts w:ascii="Arial" w:hAnsi="Arial" w:hint="default"/>
      </w:rPr>
    </w:lvl>
    <w:lvl w:ilvl="5" w:tplc="7D3E281C" w:tentative="1">
      <w:start w:val="1"/>
      <w:numFmt w:val="bullet"/>
      <w:lvlText w:val="•"/>
      <w:lvlJc w:val="left"/>
      <w:pPr>
        <w:tabs>
          <w:tab w:val="num" w:pos="3960"/>
        </w:tabs>
        <w:ind w:left="3960" w:hanging="360"/>
      </w:pPr>
      <w:rPr>
        <w:rFonts w:ascii="Arial" w:hAnsi="Arial" w:hint="default"/>
      </w:rPr>
    </w:lvl>
    <w:lvl w:ilvl="6" w:tplc="FDF09FFA" w:tentative="1">
      <w:start w:val="1"/>
      <w:numFmt w:val="bullet"/>
      <w:lvlText w:val="•"/>
      <w:lvlJc w:val="left"/>
      <w:pPr>
        <w:tabs>
          <w:tab w:val="num" w:pos="4680"/>
        </w:tabs>
        <w:ind w:left="4680" w:hanging="360"/>
      </w:pPr>
      <w:rPr>
        <w:rFonts w:ascii="Arial" w:hAnsi="Arial" w:hint="default"/>
      </w:rPr>
    </w:lvl>
    <w:lvl w:ilvl="7" w:tplc="D960BE7A" w:tentative="1">
      <w:start w:val="1"/>
      <w:numFmt w:val="bullet"/>
      <w:lvlText w:val="•"/>
      <w:lvlJc w:val="left"/>
      <w:pPr>
        <w:tabs>
          <w:tab w:val="num" w:pos="5400"/>
        </w:tabs>
        <w:ind w:left="5400" w:hanging="360"/>
      </w:pPr>
      <w:rPr>
        <w:rFonts w:ascii="Arial" w:hAnsi="Arial" w:hint="default"/>
      </w:rPr>
    </w:lvl>
    <w:lvl w:ilvl="8" w:tplc="FCA4AC30"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AE209DD"/>
    <w:multiLevelType w:val="hybridMultilevel"/>
    <w:tmpl w:val="4446B278"/>
    <w:lvl w:ilvl="0" w:tplc="52FCF7FC">
      <w:start w:val="1"/>
      <w:numFmt w:val="bullet"/>
      <w:lvlText w:val="•"/>
      <w:lvlJc w:val="left"/>
      <w:pPr>
        <w:tabs>
          <w:tab w:val="num" w:pos="360"/>
        </w:tabs>
        <w:ind w:left="360" w:hanging="360"/>
      </w:pPr>
      <w:rPr>
        <w:rFonts w:ascii="Arial" w:hAnsi="Arial" w:hint="default"/>
      </w:rPr>
    </w:lvl>
    <w:lvl w:ilvl="1" w:tplc="1B4C713C" w:tentative="1">
      <w:start w:val="1"/>
      <w:numFmt w:val="bullet"/>
      <w:lvlText w:val="•"/>
      <w:lvlJc w:val="left"/>
      <w:pPr>
        <w:tabs>
          <w:tab w:val="num" w:pos="1080"/>
        </w:tabs>
        <w:ind w:left="1080" w:hanging="360"/>
      </w:pPr>
      <w:rPr>
        <w:rFonts w:ascii="Arial" w:hAnsi="Arial" w:hint="default"/>
      </w:rPr>
    </w:lvl>
    <w:lvl w:ilvl="2" w:tplc="62EEB6E2" w:tentative="1">
      <w:start w:val="1"/>
      <w:numFmt w:val="bullet"/>
      <w:lvlText w:val="•"/>
      <w:lvlJc w:val="left"/>
      <w:pPr>
        <w:tabs>
          <w:tab w:val="num" w:pos="1800"/>
        </w:tabs>
        <w:ind w:left="1800" w:hanging="360"/>
      </w:pPr>
      <w:rPr>
        <w:rFonts w:ascii="Arial" w:hAnsi="Arial" w:hint="default"/>
      </w:rPr>
    </w:lvl>
    <w:lvl w:ilvl="3" w:tplc="A112D590" w:tentative="1">
      <w:start w:val="1"/>
      <w:numFmt w:val="bullet"/>
      <w:lvlText w:val="•"/>
      <w:lvlJc w:val="left"/>
      <w:pPr>
        <w:tabs>
          <w:tab w:val="num" w:pos="2520"/>
        </w:tabs>
        <w:ind w:left="2520" w:hanging="360"/>
      </w:pPr>
      <w:rPr>
        <w:rFonts w:ascii="Arial" w:hAnsi="Arial" w:hint="default"/>
      </w:rPr>
    </w:lvl>
    <w:lvl w:ilvl="4" w:tplc="6E32F71A" w:tentative="1">
      <w:start w:val="1"/>
      <w:numFmt w:val="bullet"/>
      <w:lvlText w:val="•"/>
      <w:lvlJc w:val="left"/>
      <w:pPr>
        <w:tabs>
          <w:tab w:val="num" w:pos="3240"/>
        </w:tabs>
        <w:ind w:left="3240" w:hanging="360"/>
      </w:pPr>
      <w:rPr>
        <w:rFonts w:ascii="Arial" w:hAnsi="Arial" w:hint="default"/>
      </w:rPr>
    </w:lvl>
    <w:lvl w:ilvl="5" w:tplc="32C28F50" w:tentative="1">
      <w:start w:val="1"/>
      <w:numFmt w:val="bullet"/>
      <w:lvlText w:val="•"/>
      <w:lvlJc w:val="left"/>
      <w:pPr>
        <w:tabs>
          <w:tab w:val="num" w:pos="3960"/>
        </w:tabs>
        <w:ind w:left="3960" w:hanging="360"/>
      </w:pPr>
      <w:rPr>
        <w:rFonts w:ascii="Arial" w:hAnsi="Arial" w:hint="default"/>
      </w:rPr>
    </w:lvl>
    <w:lvl w:ilvl="6" w:tplc="59823FA2" w:tentative="1">
      <w:start w:val="1"/>
      <w:numFmt w:val="bullet"/>
      <w:lvlText w:val="•"/>
      <w:lvlJc w:val="left"/>
      <w:pPr>
        <w:tabs>
          <w:tab w:val="num" w:pos="4680"/>
        </w:tabs>
        <w:ind w:left="4680" w:hanging="360"/>
      </w:pPr>
      <w:rPr>
        <w:rFonts w:ascii="Arial" w:hAnsi="Arial" w:hint="default"/>
      </w:rPr>
    </w:lvl>
    <w:lvl w:ilvl="7" w:tplc="BC942AE2" w:tentative="1">
      <w:start w:val="1"/>
      <w:numFmt w:val="bullet"/>
      <w:lvlText w:val="•"/>
      <w:lvlJc w:val="left"/>
      <w:pPr>
        <w:tabs>
          <w:tab w:val="num" w:pos="5400"/>
        </w:tabs>
        <w:ind w:left="5400" w:hanging="360"/>
      </w:pPr>
      <w:rPr>
        <w:rFonts w:ascii="Arial" w:hAnsi="Arial" w:hint="default"/>
      </w:rPr>
    </w:lvl>
    <w:lvl w:ilvl="8" w:tplc="6EC267DE"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C157CB3"/>
    <w:multiLevelType w:val="hybridMultilevel"/>
    <w:tmpl w:val="4BF8F216"/>
    <w:lvl w:ilvl="0" w:tplc="52FCF7FC">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0C445C5"/>
    <w:multiLevelType w:val="hybridMultilevel"/>
    <w:tmpl w:val="3A2612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E762060"/>
    <w:multiLevelType w:val="hybridMultilevel"/>
    <w:tmpl w:val="8404F666"/>
    <w:lvl w:ilvl="0" w:tplc="6FC8C5FE">
      <w:start w:val="1"/>
      <w:numFmt w:val="decimal"/>
      <w:lvlText w:val="%1."/>
      <w:lvlJc w:val="left"/>
      <w:pPr>
        <w:tabs>
          <w:tab w:val="num" w:pos="720"/>
        </w:tabs>
        <w:ind w:left="720" w:hanging="360"/>
      </w:pPr>
      <w:rPr>
        <w:rFonts w:hint="default"/>
      </w:rPr>
    </w:lvl>
    <w:lvl w:ilvl="1" w:tplc="4BFECA22" w:tentative="1">
      <w:start w:val="1"/>
      <w:numFmt w:val="lowerLetter"/>
      <w:lvlText w:val="%2."/>
      <w:lvlJc w:val="left"/>
      <w:pPr>
        <w:tabs>
          <w:tab w:val="num" w:pos="1440"/>
        </w:tabs>
        <w:ind w:left="1440" w:hanging="360"/>
      </w:pPr>
    </w:lvl>
    <w:lvl w:ilvl="2" w:tplc="2436B046" w:tentative="1">
      <w:start w:val="1"/>
      <w:numFmt w:val="lowerRoman"/>
      <w:lvlText w:val="%3."/>
      <w:lvlJc w:val="right"/>
      <w:pPr>
        <w:tabs>
          <w:tab w:val="num" w:pos="2160"/>
        </w:tabs>
        <w:ind w:left="2160" w:hanging="180"/>
      </w:pPr>
    </w:lvl>
    <w:lvl w:ilvl="3" w:tplc="E86C1B0E" w:tentative="1">
      <w:start w:val="1"/>
      <w:numFmt w:val="decimal"/>
      <w:lvlText w:val="%4."/>
      <w:lvlJc w:val="left"/>
      <w:pPr>
        <w:tabs>
          <w:tab w:val="num" w:pos="2880"/>
        </w:tabs>
        <w:ind w:left="2880" w:hanging="360"/>
      </w:pPr>
    </w:lvl>
    <w:lvl w:ilvl="4" w:tplc="2CFE6134" w:tentative="1">
      <w:start w:val="1"/>
      <w:numFmt w:val="lowerLetter"/>
      <w:lvlText w:val="%5."/>
      <w:lvlJc w:val="left"/>
      <w:pPr>
        <w:tabs>
          <w:tab w:val="num" w:pos="3600"/>
        </w:tabs>
        <w:ind w:left="3600" w:hanging="360"/>
      </w:pPr>
    </w:lvl>
    <w:lvl w:ilvl="5" w:tplc="707CBA64" w:tentative="1">
      <w:start w:val="1"/>
      <w:numFmt w:val="lowerRoman"/>
      <w:lvlText w:val="%6."/>
      <w:lvlJc w:val="right"/>
      <w:pPr>
        <w:tabs>
          <w:tab w:val="num" w:pos="4320"/>
        </w:tabs>
        <w:ind w:left="4320" w:hanging="180"/>
      </w:pPr>
    </w:lvl>
    <w:lvl w:ilvl="6" w:tplc="2AA66C10" w:tentative="1">
      <w:start w:val="1"/>
      <w:numFmt w:val="decimal"/>
      <w:lvlText w:val="%7."/>
      <w:lvlJc w:val="left"/>
      <w:pPr>
        <w:tabs>
          <w:tab w:val="num" w:pos="5040"/>
        </w:tabs>
        <w:ind w:left="5040" w:hanging="360"/>
      </w:pPr>
    </w:lvl>
    <w:lvl w:ilvl="7" w:tplc="37A6363A" w:tentative="1">
      <w:start w:val="1"/>
      <w:numFmt w:val="lowerLetter"/>
      <w:lvlText w:val="%8."/>
      <w:lvlJc w:val="left"/>
      <w:pPr>
        <w:tabs>
          <w:tab w:val="num" w:pos="5760"/>
        </w:tabs>
        <w:ind w:left="5760" w:hanging="360"/>
      </w:pPr>
    </w:lvl>
    <w:lvl w:ilvl="8" w:tplc="E04C5F20" w:tentative="1">
      <w:start w:val="1"/>
      <w:numFmt w:val="lowerRoman"/>
      <w:lvlText w:val="%9."/>
      <w:lvlJc w:val="right"/>
      <w:pPr>
        <w:tabs>
          <w:tab w:val="num" w:pos="6480"/>
        </w:tabs>
        <w:ind w:left="6480" w:hanging="180"/>
      </w:pPr>
    </w:lvl>
  </w:abstractNum>
  <w:abstractNum w:abstractNumId="7" w15:restartNumberingAfterBreak="0">
    <w:nsid w:val="3241342A"/>
    <w:multiLevelType w:val="hybridMultilevel"/>
    <w:tmpl w:val="5E1E3EFA"/>
    <w:lvl w:ilvl="0" w:tplc="944A5DCA">
      <w:start w:val="1"/>
      <w:numFmt w:val="decimal"/>
      <w:lvlText w:val="%1."/>
      <w:lvlJc w:val="left"/>
      <w:pPr>
        <w:tabs>
          <w:tab w:val="num" w:pos="720"/>
        </w:tabs>
        <w:ind w:left="720" w:hanging="360"/>
      </w:pPr>
      <w:rPr>
        <w:rFonts w:hint="default"/>
      </w:rPr>
    </w:lvl>
    <w:lvl w:ilvl="1" w:tplc="6AC8F336" w:tentative="1">
      <w:start w:val="1"/>
      <w:numFmt w:val="lowerLetter"/>
      <w:lvlText w:val="%2."/>
      <w:lvlJc w:val="left"/>
      <w:pPr>
        <w:tabs>
          <w:tab w:val="num" w:pos="1440"/>
        </w:tabs>
        <w:ind w:left="1440" w:hanging="360"/>
      </w:pPr>
    </w:lvl>
    <w:lvl w:ilvl="2" w:tplc="1DF46968" w:tentative="1">
      <w:start w:val="1"/>
      <w:numFmt w:val="lowerRoman"/>
      <w:lvlText w:val="%3."/>
      <w:lvlJc w:val="right"/>
      <w:pPr>
        <w:tabs>
          <w:tab w:val="num" w:pos="2160"/>
        </w:tabs>
        <w:ind w:left="2160" w:hanging="180"/>
      </w:pPr>
    </w:lvl>
    <w:lvl w:ilvl="3" w:tplc="1390E632" w:tentative="1">
      <w:start w:val="1"/>
      <w:numFmt w:val="decimal"/>
      <w:lvlText w:val="%4."/>
      <w:lvlJc w:val="left"/>
      <w:pPr>
        <w:tabs>
          <w:tab w:val="num" w:pos="2880"/>
        </w:tabs>
        <w:ind w:left="2880" w:hanging="360"/>
      </w:pPr>
    </w:lvl>
    <w:lvl w:ilvl="4" w:tplc="973445B0" w:tentative="1">
      <w:start w:val="1"/>
      <w:numFmt w:val="lowerLetter"/>
      <w:lvlText w:val="%5."/>
      <w:lvlJc w:val="left"/>
      <w:pPr>
        <w:tabs>
          <w:tab w:val="num" w:pos="3600"/>
        </w:tabs>
        <w:ind w:left="3600" w:hanging="360"/>
      </w:pPr>
    </w:lvl>
    <w:lvl w:ilvl="5" w:tplc="C1183B4E" w:tentative="1">
      <w:start w:val="1"/>
      <w:numFmt w:val="lowerRoman"/>
      <w:lvlText w:val="%6."/>
      <w:lvlJc w:val="right"/>
      <w:pPr>
        <w:tabs>
          <w:tab w:val="num" w:pos="4320"/>
        </w:tabs>
        <w:ind w:left="4320" w:hanging="180"/>
      </w:pPr>
    </w:lvl>
    <w:lvl w:ilvl="6" w:tplc="6908BF8A" w:tentative="1">
      <w:start w:val="1"/>
      <w:numFmt w:val="decimal"/>
      <w:lvlText w:val="%7."/>
      <w:lvlJc w:val="left"/>
      <w:pPr>
        <w:tabs>
          <w:tab w:val="num" w:pos="5040"/>
        </w:tabs>
        <w:ind w:left="5040" w:hanging="360"/>
      </w:pPr>
    </w:lvl>
    <w:lvl w:ilvl="7" w:tplc="99E0CB34" w:tentative="1">
      <w:start w:val="1"/>
      <w:numFmt w:val="lowerLetter"/>
      <w:lvlText w:val="%8."/>
      <w:lvlJc w:val="left"/>
      <w:pPr>
        <w:tabs>
          <w:tab w:val="num" w:pos="5760"/>
        </w:tabs>
        <w:ind w:left="5760" w:hanging="360"/>
      </w:pPr>
    </w:lvl>
    <w:lvl w:ilvl="8" w:tplc="3FFE4C08" w:tentative="1">
      <w:start w:val="1"/>
      <w:numFmt w:val="lowerRoman"/>
      <w:lvlText w:val="%9."/>
      <w:lvlJc w:val="right"/>
      <w:pPr>
        <w:tabs>
          <w:tab w:val="num" w:pos="6480"/>
        </w:tabs>
        <w:ind w:left="6480" w:hanging="180"/>
      </w:pPr>
    </w:lvl>
  </w:abstractNum>
  <w:abstractNum w:abstractNumId="8" w15:restartNumberingAfterBreak="0">
    <w:nsid w:val="37085AD2"/>
    <w:multiLevelType w:val="hybridMultilevel"/>
    <w:tmpl w:val="F14ECFB2"/>
    <w:lvl w:ilvl="0" w:tplc="57F81F4A">
      <w:start w:val="1"/>
      <w:numFmt w:val="bullet"/>
      <w:lvlText w:val="•"/>
      <w:lvlJc w:val="left"/>
      <w:pPr>
        <w:tabs>
          <w:tab w:val="num" w:pos="720"/>
        </w:tabs>
        <w:ind w:left="720" w:hanging="360"/>
      </w:pPr>
      <w:rPr>
        <w:rFonts w:ascii="Arial" w:hAnsi="Arial" w:hint="default"/>
      </w:rPr>
    </w:lvl>
    <w:lvl w:ilvl="1" w:tplc="A0987E6C" w:tentative="1">
      <w:start w:val="1"/>
      <w:numFmt w:val="bullet"/>
      <w:lvlText w:val="•"/>
      <w:lvlJc w:val="left"/>
      <w:pPr>
        <w:tabs>
          <w:tab w:val="num" w:pos="1440"/>
        </w:tabs>
        <w:ind w:left="1440" w:hanging="360"/>
      </w:pPr>
      <w:rPr>
        <w:rFonts w:ascii="Arial" w:hAnsi="Arial" w:hint="default"/>
      </w:rPr>
    </w:lvl>
    <w:lvl w:ilvl="2" w:tplc="88581AC4" w:tentative="1">
      <w:start w:val="1"/>
      <w:numFmt w:val="bullet"/>
      <w:lvlText w:val="•"/>
      <w:lvlJc w:val="left"/>
      <w:pPr>
        <w:tabs>
          <w:tab w:val="num" w:pos="2160"/>
        </w:tabs>
        <w:ind w:left="2160" w:hanging="360"/>
      </w:pPr>
      <w:rPr>
        <w:rFonts w:ascii="Arial" w:hAnsi="Arial" w:hint="default"/>
      </w:rPr>
    </w:lvl>
    <w:lvl w:ilvl="3" w:tplc="4D5E70A6" w:tentative="1">
      <w:start w:val="1"/>
      <w:numFmt w:val="bullet"/>
      <w:lvlText w:val="•"/>
      <w:lvlJc w:val="left"/>
      <w:pPr>
        <w:tabs>
          <w:tab w:val="num" w:pos="2880"/>
        </w:tabs>
        <w:ind w:left="2880" w:hanging="360"/>
      </w:pPr>
      <w:rPr>
        <w:rFonts w:ascii="Arial" w:hAnsi="Arial" w:hint="default"/>
      </w:rPr>
    </w:lvl>
    <w:lvl w:ilvl="4" w:tplc="F912F2C6" w:tentative="1">
      <w:start w:val="1"/>
      <w:numFmt w:val="bullet"/>
      <w:lvlText w:val="•"/>
      <w:lvlJc w:val="left"/>
      <w:pPr>
        <w:tabs>
          <w:tab w:val="num" w:pos="3600"/>
        </w:tabs>
        <w:ind w:left="3600" w:hanging="360"/>
      </w:pPr>
      <w:rPr>
        <w:rFonts w:ascii="Arial" w:hAnsi="Arial" w:hint="default"/>
      </w:rPr>
    </w:lvl>
    <w:lvl w:ilvl="5" w:tplc="4CCA2FD4" w:tentative="1">
      <w:start w:val="1"/>
      <w:numFmt w:val="bullet"/>
      <w:lvlText w:val="•"/>
      <w:lvlJc w:val="left"/>
      <w:pPr>
        <w:tabs>
          <w:tab w:val="num" w:pos="4320"/>
        </w:tabs>
        <w:ind w:left="4320" w:hanging="360"/>
      </w:pPr>
      <w:rPr>
        <w:rFonts w:ascii="Arial" w:hAnsi="Arial" w:hint="default"/>
      </w:rPr>
    </w:lvl>
    <w:lvl w:ilvl="6" w:tplc="55F8A48A" w:tentative="1">
      <w:start w:val="1"/>
      <w:numFmt w:val="bullet"/>
      <w:lvlText w:val="•"/>
      <w:lvlJc w:val="left"/>
      <w:pPr>
        <w:tabs>
          <w:tab w:val="num" w:pos="5040"/>
        </w:tabs>
        <w:ind w:left="5040" w:hanging="360"/>
      </w:pPr>
      <w:rPr>
        <w:rFonts w:ascii="Arial" w:hAnsi="Arial" w:hint="default"/>
      </w:rPr>
    </w:lvl>
    <w:lvl w:ilvl="7" w:tplc="ED267228" w:tentative="1">
      <w:start w:val="1"/>
      <w:numFmt w:val="bullet"/>
      <w:lvlText w:val="•"/>
      <w:lvlJc w:val="left"/>
      <w:pPr>
        <w:tabs>
          <w:tab w:val="num" w:pos="5760"/>
        </w:tabs>
        <w:ind w:left="5760" w:hanging="360"/>
      </w:pPr>
      <w:rPr>
        <w:rFonts w:ascii="Arial" w:hAnsi="Arial" w:hint="default"/>
      </w:rPr>
    </w:lvl>
    <w:lvl w:ilvl="8" w:tplc="0B98069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B97415D"/>
    <w:multiLevelType w:val="hybridMultilevel"/>
    <w:tmpl w:val="8B56F6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415A5B1F"/>
    <w:multiLevelType w:val="hybridMultilevel"/>
    <w:tmpl w:val="F072D9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3333EC9"/>
    <w:multiLevelType w:val="hybridMultilevel"/>
    <w:tmpl w:val="F26CA56C"/>
    <w:lvl w:ilvl="0" w:tplc="40742554">
      <w:start w:val="1"/>
      <w:numFmt w:val="upperLetter"/>
      <w:lvlText w:val="%1."/>
      <w:lvlJc w:val="left"/>
      <w:pPr>
        <w:tabs>
          <w:tab w:val="num" w:pos="720"/>
        </w:tabs>
        <w:ind w:left="720" w:hanging="360"/>
      </w:pPr>
    </w:lvl>
    <w:lvl w:ilvl="1" w:tplc="5FFE11C6" w:tentative="1">
      <w:start w:val="1"/>
      <w:numFmt w:val="lowerLetter"/>
      <w:lvlText w:val="%2."/>
      <w:lvlJc w:val="left"/>
      <w:pPr>
        <w:tabs>
          <w:tab w:val="num" w:pos="1440"/>
        </w:tabs>
        <w:ind w:left="1440" w:hanging="360"/>
      </w:pPr>
    </w:lvl>
    <w:lvl w:ilvl="2" w:tplc="4704D84A" w:tentative="1">
      <w:start w:val="1"/>
      <w:numFmt w:val="lowerRoman"/>
      <w:lvlText w:val="%3."/>
      <w:lvlJc w:val="right"/>
      <w:pPr>
        <w:tabs>
          <w:tab w:val="num" w:pos="2160"/>
        </w:tabs>
        <w:ind w:left="2160" w:hanging="180"/>
      </w:pPr>
    </w:lvl>
    <w:lvl w:ilvl="3" w:tplc="4100206E" w:tentative="1">
      <w:start w:val="1"/>
      <w:numFmt w:val="decimal"/>
      <w:lvlText w:val="%4."/>
      <w:lvlJc w:val="left"/>
      <w:pPr>
        <w:tabs>
          <w:tab w:val="num" w:pos="2880"/>
        </w:tabs>
        <w:ind w:left="2880" w:hanging="360"/>
      </w:pPr>
    </w:lvl>
    <w:lvl w:ilvl="4" w:tplc="A28C7668" w:tentative="1">
      <w:start w:val="1"/>
      <w:numFmt w:val="lowerLetter"/>
      <w:lvlText w:val="%5."/>
      <w:lvlJc w:val="left"/>
      <w:pPr>
        <w:tabs>
          <w:tab w:val="num" w:pos="3600"/>
        </w:tabs>
        <w:ind w:left="3600" w:hanging="360"/>
      </w:pPr>
    </w:lvl>
    <w:lvl w:ilvl="5" w:tplc="FF921F88" w:tentative="1">
      <w:start w:val="1"/>
      <w:numFmt w:val="lowerRoman"/>
      <w:lvlText w:val="%6."/>
      <w:lvlJc w:val="right"/>
      <w:pPr>
        <w:tabs>
          <w:tab w:val="num" w:pos="4320"/>
        </w:tabs>
        <w:ind w:left="4320" w:hanging="180"/>
      </w:pPr>
    </w:lvl>
    <w:lvl w:ilvl="6" w:tplc="00203F12" w:tentative="1">
      <w:start w:val="1"/>
      <w:numFmt w:val="decimal"/>
      <w:lvlText w:val="%7."/>
      <w:lvlJc w:val="left"/>
      <w:pPr>
        <w:tabs>
          <w:tab w:val="num" w:pos="5040"/>
        </w:tabs>
        <w:ind w:left="5040" w:hanging="360"/>
      </w:pPr>
    </w:lvl>
    <w:lvl w:ilvl="7" w:tplc="1D603F6E" w:tentative="1">
      <w:start w:val="1"/>
      <w:numFmt w:val="lowerLetter"/>
      <w:lvlText w:val="%8."/>
      <w:lvlJc w:val="left"/>
      <w:pPr>
        <w:tabs>
          <w:tab w:val="num" w:pos="5760"/>
        </w:tabs>
        <w:ind w:left="5760" w:hanging="360"/>
      </w:pPr>
    </w:lvl>
    <w:lvl w:ilvl="8" w:tplc="D960C9EE" w:tentative="1">
      <w:start w:val="1"/>
      <w:numFmt w:val="lowerRoman"/>
      <w:lvlText w:val="%9."/>
      <w:lvlJc w:val="right"/>
      <w:pPr>
        <w:tabs>
          <w:tab w:val="num" w:pos="6480"/>
        </w:tabs>
        <w:ind w:left="6480" w:hanging="180"/>
      </w:pPr>
    </w:lvl>
  </w:abstractNum>
  <w:abstractNum w:abstractNumId="12" w15:restartNumberingAfterBreak="0">
    <w:nsid w:val="438C0682"/>
    <w:multiLevelType w:val="hybridMultilevel"/>
    <w:tmpl w:val="BA8656B8"/>
    <w:lvl w:ilvl="0" w:tplc="7AAEE5E8">
      <w:start w:val="1"/>
      <w:numFmt w:val="lowerRoman"/>
      <w:lvlText w:val="%1."/>
      <w:lvlJc w:val="left"/>
      <w:pPr>
        <w:ind w:left="720" w:hanging="72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4AEF09D2"/>
    <w:multiLevelType w:val="hybridMultilevel"/>
    <w:tmpl w:val="252E98AC"/>
    <w:lvl w:ilvl="0" w:tplc="59FEDCEE">
      <w:start w:val="1"/>
      <w:numFmt w:val="lowerRoman"/>
      <w:lvlText w:val="%1."/>
      <w:lvlJc w:val="left"/>
      <w:pPr>
        <w:ind w:left="720" w:hanging="720"/>
      </w:pPr>
      <w:rPr>
        <w:rFonts w:ascii="Times New Roman" w:hAnsi="Times New Roman" w:cs="Times New Roman" w:hint="default"/>
        <w:color w:val="auto"/>
        <w:sz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540F15AA"/>
    <w:multiLevelType w:val="hybridMultilevel"/>
    <w:tmpl w:val="BED0C6A0"/>
    <w:lvl w:ilvl="0" w:tplc="354C0238">
      <w:start w:val="1"/>
      <w:numFmt w:val="decimal"/>
      <w:lvlText w:val="%1."/>
      <w:lvlJc w:val="left"/>
      <w:pPr>
        <w:tabs>
          <w:tab w:val="num" w:pos="720"/>
        </w:tabs>
        <w:ind w:left="720" w:hanging="360"/>
      </w:pPr>
      <w:rPr>
        <w:rFonts w:hint="default"/>
      </w:rPr>
    </w:lvl>
    <w:lvl w:ilvl="1" w:tplc="96746E0C">
      <w:start w:val="1"/>
      <w:numFmt w:val="bullet"/>
      <w:lvlText w:val=""/>
      <w:lvlJc w:val="left"/>
      <w:pPr>
        <w:tabs>
          <w:tab w:val="num" w:pos="1440"/>
        </w:tabs>
        <w:ind w:left="1440" w:hanging="360"/>
      </w:pPr>
      <w:rPr>
        <w:rFonts w:ascii="Symbol" w:hAnsi="Symbol" w:hint="default"/>
      </w:rPr>
    </w:lvl>
    <w:lvl w:ilvl="2" w:tplc="54C22C16" w:tentative="1">
      <w:start w:val="1"/>
      <w:numFmt w:val="lowerRoman"/>
      <w:lvlText w:val="%3."/>
      <w:lvlJc w:val="right"/>
      <w:pPr>
        <w:tabs>
          <w:tab w:val="num" w:pos="2160"/>
        </w:tabs>
        <w:ind w:left="2160" w:hanging="180"/>
      </w:pPr>
    </w:lvl>
    <w:lvl w:ilvl="3" w:tplc="B24EFB7E" w:tentative="1">
      <w:start w:val="1"/>
      <w:numFmt w:val="decimal"/>
      <w:lvlText w:val="%4."/>
      <w:lvlJc w:val="left"/>
      <w:pPr>
        <w:tabs>
          <w:tab w:val="num" w:pos="2880"/>
        </w:tabs>
        <w:ind w:left="2880" w:hanging="360"/>
      </w:pPr>
    </w:lvl>
    <w:lvl w:ilvl="4" w:tplc="A6FC9EDE" w:tentative="1">
      <w:start w:val="1"/>
      <w:numFmt w:val="lowerLetter"/>
      <w:lvlText w:val="%5."/>
      <w:lvlJc w:val="left"/>
      <w:pPr>
        <w:tabs>
          <w:tab w:val="num" w:pos="3600"/>
        </w:tabs>
        <w:ind w:left="3600" w:hanging="360"/>
      </w:pPr>
    </w:lvl>
    <w:lvl w:ilvl="5" w:tplc="33C2E182" w:tentative="1">
      <w:start w:val="1"/>
      <w:numFmt w:val="lowerRoman"/>
      <w:lvlText w:val="%6."/>
      <w:lvlJc w:val="right"/>
      <w:pPr>
        <w:tabs>
          <w:tab w:val="num" w:pos="4320"/>
        </w:tabs>
        <w:ind w:left="4320" w:hanging="180"/>
      </w:pPr>
    </w:lvl>
    <w:lvl w:ilvl="6" w:tplc="EBB08588" w:tentative="1">
      <w:start w:val="1"/>
      <w:numFmt w:val="decimal"/>
      <w:lvlText w:val="%7."/>
      <w:lvlJc w:val="left"/>
      <w:pPr>
        <w:tabs>
          <w:tab w:val="num" w:pos="5040"/>
        </w:tabs>
        <w:ind w:left="5040" w:hanging="360"/>
      </w:pPr>
    </w:lvl>
    <w:lvl w:ilvl="7" w:tplc="2ED29DC6" w:tentative="1">
      <w:start w:val="1"/>
      <w:numFmt w:val="lowerLetter"/>
      <w:lvlText w:val="%8."/>
      <w:lvlJc w:val="left"/>
      <w:pPr>
        <w:tabs>
          <w:tab w:val="num" w:pos="5760"/>
        </w:tabs>
        <w:ind w:left="5760" w:hanging="360"/>
      </w:pPr>
    </w:lvl>
    <w:lvl w:ilvl="8" w:tplc="2D52171C" w:tentative="1">
      <w:start w:val="1"/>
      <w:numFmt w:val="lowerRoman"/>
      <w:lvlText w:val="%9."/>
      <w:lvlJc w:val="right"/>
      <w:pPr>
        <w:tabs>
          <w:tab w:val="num" w:pos="6480"/>
        </w:tabs>
        <w:ind w:left="6480" w:hanging="180"/>
      </w:pPr>
    </w:lvl>
  </w:abstractNum>
  <w:abstractNum w:abstractNumId="15" w15:restartNumberingAfterBreak="0">
    <w:nsid w:val="5A5C42C4"/>
    <w:multiLevelType w:val="hybridMultilevel"/>
    <w:tmpl w:val="235CFA0A"/>
    <w:lvl w:ilvl="0" w:tplc="3C284AD4">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66E10FD9"/>
    <w:multiLevelType w:val="hybridMultilevel"/>
    <w:tmpl w:val="4F76B356"/>
    <w:lvl w:ilvl="0" w:tplc="6806059A">
      <w:start w:val="9"/>
      <w:numFmt w:val="decimal"/>
      <w:lvlText w:val="%1."/>
      <w:lvlJc w:val="left"/>
      <w:pPr>
        <w:tabs>
          <w:tab w:val="num" w:pos="720"/>
        </w:tabs>
        <w:ind w:left="720" w:hanging="360"/>
      </w:pPr>
      <w:rPr>
        <w:rFonts w:hint="default"/>
      </w:rPr>
    </w:lvl>
    <w:lvl w:ilvl="1" w:tplc="1F623D70" w:tentative="1">
      <w:start w:val="1"/>
      <w:numFmt w:val="lowerLetter"/>
      <w:lvlText w:val="%2."/>
      <w:lvlJc w:val="left"/>
      <w:pPr>
        <w:tabs>
          <w:tab w:val="num" w:pos="1440"/>
        </w:tabs>
        <w:ind w:left="1440" w:hanging="360"/>
      </w:pPr>
    </w:lvl>
    <w:lvl w:ilvl="2" w:tplc="4BC41F3E" w:tentative="1">
      <w:start w:val="1"/>
      <w:numFmt w:val="lowerRoman"/>
      <w:lvlText w:val="%3."/>
      <w:lvlJc w:val="right"/>
      <w:pPr>
        <w:tabs>
          <w:tab w:val="num" w:pos="2160"/>
        </w:tabs>
        <w:ind w:left="2160" w:hanging="180"/>
      </w:pPr>
    </w:lvl>
    <w:lvl w:ilvl="3" w:tplc="DDFC911C" w:tentative="1">
      <w:start w:val="1"/>
      <w:numFmt w:val="decimal"/>
      <w:lvlText w:val="%4."/>
      <w:lvlJc w:val="left"/>
      <w:pPr>
        <w:tabs>
          <w:tab w:val="num" w:pos="2880"/>
        </w:tabs>
        <w:ind w:left="2880" w:hanging="360"/>
      </w:pPr>
    </w:lvl>
    <w:lvl w:ilvl="4" w:tplc="4C18A134" w:tentative="1">
      <w:start w:val="1"/>
      <w:numFmt w:val="lowerLetter"/>
      <w:lvlText w:val="%5."/>
      <w:lvlJc w:val="left"/>
      <w:pPr>
        <w:tabs>
          <w:tab w:val="num" w:pos="3600"/>
        </w:tabs>
        <w:ind w:left="3600" w:hanging="360"/>
      </w:pPr>
    </w:lvl>
    <w:lvl w:ilvl="5" w:tplc="D0DC41FE" w:tentative="1">
      <w:start w:val="1"/>
      <w:numFmt w:val="lowerRoman"/>
      <w:lvlText w:val="%6."/>
      <w:lvlJc w:val="right"/>
      <w:pPr>
        <w:tabs>
          <w:tab w:val="num" w:pos="4320"/>
        </w:tabs>
        <w:ind w:left="4320" w:hanging="180"/>
      </w:pPr>
    </w:lvl>
    <w:lvl w:ilvl="6" w:tplc="1DD243AE" w:tentative="1">
      <w:start w:val="1"/>
      <w:numFmt w:val="decimal"/>
      <w:lvlText w:val="%7."/>
      <w:lvlJc w:val="left"/>
      <w:pPr>
        <w:tabs>
          <w:tab w:val="num" w:pos="5040"/>
        </w:tabs>
        <w:ind w:left="5040" w:hanging="360"/>
      </w:pPr>
    </w:lvl>
    <w:lvl w:ilvl="7" w:tplc="D35AD476" w:tentative="1">
      <w:start w:val="1"/>
      <w:numFmt w:val="lowerLetter"/>
      <w:lvlText w:val="%8."/>
      <w:lvlJc w:val="left"/>
      <w:pPr>
        <w:tabs>
          <w:tab w:val="num" w:pos="5760"/>
        </w:tabs>
        <w:ind w:left="5760" w:hanging="360"/>
      </w:pPr>
    </w:lvl>
    <w:lvl w:ilvl="8" w:tplc="4330ED02" w:tentative="1">
      <w:start w:val="1"/>
      <w:numFmt w:val="lowerRoman"/>
      <w:lvlText w:val="%9."/>
      <w:lvlJc w:val="right"/>
      <w:pPr>
        <w:tabs>
          <w:tab w:val="num" w:pos="6480"/>
        </w:tabs>
        <w:ind w:left="6480" w:hanging="180"/>
      </w:pPr>
    </w:lvl>
  </w:abstractNum>
  <w:abstractNum w:abstractNumId="17" w15:restartNumberingAfterBreak="0">
    <w:nsid w:val="67D3646A"/>
    <w:multiLevelType w:val="hybridMultilevel"/>
    <w:tmpl w:val="2A820CEA"/>
    <w:lvl w:ilvl="0" w:tplc="52FCF7FC">
      <w:start w:val="1"/>
      <w:numFmt w:val="bullet"/>
      <w:lvlText w:val="•"/>
      <w:lvlJc w:val="left"/>
      <w:pPr>
        <w:ind w:left="360" w:hanging="360"/>
      </w:pPr>
      <w:rPr>
        <w:rFonts w:ascii="Arial"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719C362D"/>
    <w:multiLevelType w:val="hybridMultilevel"/>
    <w:tmpl w:val="460A47B8"/>
    <w:lvl w:ilvl="0" w:tplc="9AD0A758">
      <w:start w:val="1"/>
      <w:numFmt w:val="bullet"/>
      <w:lvlText w:val=""/>
      <w:lvlJc w:val="left"/>
      <w:pPr>
        <w:tabs>
          <w:tab w:val="num" w:pos="720"/>
        </w:tabs>
        <w:ind w:left="720" w:hanging="360"/>
      </w:pPr>
      <w:rPr>
        <w:rFonts w:ascii="Wingdings" w:hAnsi="Wingdings" w:hint="default"/>
        <w:sz w:val="16"/>
      </w:rPr>
    </w:lvl>
    <w:lvl w:ilvl="1" w:tplc="573AC71E" w:tentative="1">
      <w:start w:val="1"/>
      <w:numFmt w:val="bullet"/>
      <w:lvlText w:val="o"/>
      <w:lvlJc w:val="left"/>
      <w:pPr>
        <w:tabs>
          <w:tab w:val="num" w:pos="1440"/>
        </w:tabs>
        <w:ind w:left="1440" w:hanging="360"/>
      </w:pPr>
      <w:rPr>
        <w:rFonts w:ascii="Courier New" w:hAnsi="Courier New" w:hint="default"/>
      </w:rPr>
    </w:lvl>
    <w:lvl w:ilvl="2" w:tplc="5FCEFB94" w:tentative="1">
      <w:start w:val="1"/>
      <w:numFmt w:val="bullet"/>
      <w:lvlText w:val=""/>
      <w:lvlJc w:val="left"/>
      <w:pPr>
        <w:tabs>
          <w:tab w:val="num" w:pos="2160"/>
        </w:tabs>
        <w:ind w:left="2160" w:hanging="360"/>
      </w:pPr>
      <w:rPr>
        <w:rFonts w:ascii="Wingdings" w:hAnsi="Wingdings" w:hint="default"/>
      </w:rPr>
    </w:lvl>
    <w:lvl w:ilvl="3" w:tplc="2200BA32" w:tentative="1">
      <w:start w:val="1"/>
      <w:numFmt w:val="bullet"/>
      <w:lvlText w:val=""/>
      <w:lvlJc w:val="left"/>
      <w:pPr>
        <w:tabs>
          <w:tab w:val="num" w:pos="2880"/>
        </w:tabs>
        <w:ind w:left="2880" w:hanging="360"/>
      </w:pPr>
      <w:rPr>
        <w:rFonts w:ascii="Symbol" w:hAnsi="Symbol" w:hint="default"/>
      </w:rPr>
    </w:lvl>
    <w:lvl w:ilvl="4" w:tplc="86088B46" w:tentative="1">
      <w:start w:val="1"/>
      <w:numFmt w:val="bullet"/>
      <w:lvlText w:val="o"/>
      <w:lvlJc w:val="left"/>
      <w:pPr>
        <w:tabs>
          <w:tab w:val="num" w:pos="3600"/>
        </w:tabs>
        <w:ind w:left="3600" w:hanging="360"/>
      </w:pPr>
      <w:rPr>
        <w:rFonts w:ascii="Courier New" w:hAnsi="Courier New" w:hint="default"/>
      </w:rPr>
    </w:lvl>
    <w:lvl w:ilvl="5" w:tplc="82F8FD3A" w:tentative="1">
      <w:start w:val="1"/>
      <w:numFmt w:val="bullet"/>
      <w:lvlText w:val=""/>
      <w:lvlJc w:val="left"/>
      <w:pPr>
        <w:tabs>
          <w:tab w:val="num" w:pos="4320"/>
        </w:tabs>
        <w:ind w:left="4320" w:hanging="360"/>
      </w:pPr>
      <w:rPr>
        <w:rFonts w:ascii="Wingdings" w:hAnsi="Wingdings" w:hint="default"/>
      </w:rPr>
    </w:lvl>
    <w:lvl w:ilvl="6" w:tplc="62DE68D8" w:tentative="1">
      <w:start w:val="1"/>
      <w:numFmt w:val="bullet"/>
      <w:lvlText w:val=""/>
      <w:lvlJc w:val="left"/>
      <w:pPr>
        <w:tabs>
          <w:tab w:val="num" w:pos="5040"/>
        </w:tabs>
        <w:ind w:left="5040" w:hanging="360"/>
      </w:pPr>
      <w:rPr>
        <w:rFonts w:ascii="Symbol" w:hAnsi="Symbol" w:hint="default"/>
      </w:rPr>
    </w:lvl>
    <w:lvl w:ilvl="7" w:tplc="9C7022A8" w:tentative="1">
      <w:start w:val="1"/>
      <w:numFmt w:val="bullet"/>
      <w:lvlText w:val="o"/>
      <w:lvlJc w:val="left"/>
      <w:pPr>
        <w:tabs>
          <w:tab w:val="num" w:pos="5760"/>
        </w:tabs>
        <w:ind w:left="5760" w:hanging="360"/>
      </w:pPr>
      <w:rPr>
        <w:rFonts w:ascii="Courier New" w:hAnsi="Courier New" w:hint="default"/>
      </w:rPr>
    </w:lvl>
    <w:lvl w:ilvl="8" w:tplc="E5C2ECD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E16928"/>
    <w:multiLevelType w:val="hybridMultilevel"/>
    <w:tmpl w:val="0660EF5E"/>
    <w:lvl w:ilvl="0" w:tplc="EB74696E">
      <w:start w:val="1"/>
      <w:numFmt w:val="low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7E7E6FBC"/>
    <w:multiLevelType w:val="hybridMultilevel"/>
    <w:tmpl w:val="8E0E2ED6"/>
    <w:lvl w:ilvl="0" w:tplc="00FC4616">
      <w:start w:val="1"/>
      <w:numFmt w:val="bullet"/>
      <w:lvlText w:val=""/>
      <w:lvlJc w:val="left"/>
      <w:pPr>
        <w:tabs>
          <w:tab w:val="num" w:pos="360"/>
        </w:tabs>
        <w:ind w:left="360" w:hanging="360"/>
      </w:pPr>
      <w:rPr>
        <w:rFonts w:ascii="Wingdings" w:hAnsi="Wingdings" w:hint="default"/>
        <w:sz w:val="16"/>
      </w:rPr>
    </w:lvl>
    <w:lvl w:ilvl="1" w:tplc="23166566" w:tentative="1">
      <w:start w:val="1"/>
      <w:numFmt w:val="bullet"/>
      <w:lvlText w:val="o"/>
      <w:lvlJc w:val="left"/>
      <w:pPr>
        <w:tabs>
          <w:tab w:val="num" w:pos="1440"/>
        </w:tabs>
        <w:ind w:left="1440" w:hanging="360"/>
      </w:pPr>
      <w:rPr>
        <w:rFonts w:ascii="Courier New" w:hAnsi="Courier New" w:hint="default"/>
      </w:rPr>
    </w:lvl>
    <w:lvl w:ilvl="2" w:tplc="7A28DE2C" w:tentative="1">
      <w:start w:val="1"/>
      <w:numFmt w:val="bullet"/>
      <w:lvlText w:val=""/>
      <w:lvlJc w:val="left"/>
      <w:pPr>
        <w:tabs>
          <w:tab w:val="num" w:pos="2160"/>
        </w:tabs>
        <w:ind w:left="2160" w:hanging="360"/>
      </w:pPr>
      <w:rPr>
        <w:rFonts w:ascii="Wingdings" w:hAnsi="Wingdings" w:hint="default"/>
      </w:rPr>
    </w:lvl>
    <w:lvl w:ilvl="3" w:tplc="F6C21676" w:tentative="1">
      <w:start w:val="1"/>
      <w:numFmt w:val="bullet"/>
      <w:lvlText w:val=""/>
      <w:lvlJc w:val="left"/>
      <w:pPr>
        <w:tabs>
          <w:tab w:val="num" w:pos="2880"/>
        </w:tabs>
        <w:ind w:left="2880" w:hanging="360"/>
      </w:pPr>
      <w:rPr>
        <w:rFonts w:ascii="Symbol" w:hAnsi="Symbol" w:hint="default"/>
      </w:rPr>
    </w:lvl>
    <w:lvl w:ilvl="4" w:tplc="0748A398" w:tentative="1">
      <w:start w:val="1"/>
      <w:numFmt w:val="bullet"/>
      <w:lvlText w:val="o"/>
      <w:lvlJc w:val="left"/>
      <w:pPr>
        <w:tabs>
          <w:tab w:val="num" w:pos="3600"/>
        </w:tabs>
        <w:ind w:left="3600" w:hanging="360"/>
      </w:pPr>
      <w:rPr>
        <w:rFonts w:ascii="Courier New" w:hAnsi="Courier New" w:hint="default"/>
      </w:rPr>
    </w:lvl>
    <w:lvl w:ilvl="5" w:tplc="B2108D8C" w:tentative="1">
      <w:start w:val="1"/>
      <w:numFmt w:val="bullet"/>
      <w:lvlText w:val=""/>
      <w:lvlJc w:val="left"/>
      <w:pPr>
        <w:tabs>
          <w:tab w:val="num" w:pos="4320"/>
        </w:tabs>
        <w:ind w:left="4320" w:hanging="360"/>
      </w:pPr>
      <w:rPr>
        <w:rFonts w:ascii="Wingdings" w:hAnsi="Wingdings" w:hint="default"/>
      </w:rPr>
    </w:lvl>
    <w:lvl w:ilvl="6" w:tplc="ABB0F6DE" w:tentative="1">
      <w:start w:val="1"/>
      <w:numFmt w:val="bullet"/>
      <w:lvlText w:val=""/>
      <w:lvlJc w:val="left"/>
      <w:pPr>
        <w:tabs>
          <w:tab w:val="num" w:pos="5040"/>
        </w:tabs>
        <w:ind w:left="5040" w:hanging="360"/>
      </w:pPr>
      <w:rPr>
        <w:rFonts w:ascii="Symbol" w:hAnsi="Symbol" w:hint="default"/>
      </w:rPr>
    </w:lvl>
    <w:lvl w:ilvl="7" w:tplc="65644A08" w:tentative="1">
      <w:start w:val="1"/>
      <w:numFmt w:val="bullet"/>
      <w:lvlText w:val="o"/>
      <w:lvlJc w:val="left"/>
      <w:pPr>
        <w:tabs>
          <w:tab w:val="num" w:pos="5760"/>
        </w:tabs>
        <w:ind w:left="5760" w:hanging="360"/>
      </w:pPr>
      <w:rPr>
        <w:rFonts w:ascii="Courier New" w:hAnsi="Courier New" w:hint="default"/>
      </w:rPr>
    </w:lvl>
    <w:lvl w:ilvl="8" w:tplc="A6185B84"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8"/>
  </w:num>
  <w:num w:numId="3">
    <w:abstractNumId w:val="20"/>
  </w:num>
  <w:num w:numId="4">
    <w:abstractNumId w:val="14"/>
  </w:num>
  <w:num w:numId="5">
    <w:abstractNumId w:val="6"/>
  </w:num>
  <w:num w:numId="6">
    <w:abstractNumId w:val="7"/>
  </w:num>
  <w:num w:numId="7">
    <w:abstractNumId w:val="16"/>
  </w:num>
  <w:num w:numId="8">
    <w:abstractNumId w:val="1"/>
  </w:num>
  <w:num w:numId="9">
    <w:abstractNumId w:val="0"/>
  </w:num>
  <w:num w:numId="10">
    <w:abstractNumId w:val="5"/>
  </w:num>
  <w:num w:numId="11">
    <w:abstractNumId w:val="3"/>
  </w:num>
  <w:num w:numId="12">
    <w:abstractNumId w:val="2"/>
  </w:num>
  <w:num w:numId="13">
    <w:abstractNumId w:val="17"/>
  </w:num>
  <w:num w:numId="14">
    <w:abstractNumId w:val="8"/>
  </w:num>
  <w:num w:numId="15">
    <w:abstractNumId w:val="4"/>
  </w:num>
  <w:num w:numId="16">
    <w:abstractNumId w:val="9"/>
  </w:num>
  <w:num w:numId="17">
    <w:abstractNumId w:val="10"/>
  </w:num>
  <w:num w:numId="18">
    <w:abstractNumId w:val="15"/>
  </w:num>
  <w:num w:numId="19">
    <w:abstractNumId w:val="12"/>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00B"/>
    <w:rsid w:val="000152BA"/>
    <w:rsid w:val="00037B6B"/>
    <w:rsid w:val="0004040D"/>
    <w:rsid w:val="00046257"/>
    <w:rsid w:val="000476B7"/>
    <w:rsid w:val="000533AF"/>
    <w:rsid w:val="0007116B"/>
    <w:rsid w:val="0008126B"/>
    <w:rsid w:val="000D009A"/>
    <w:rsid w:val="000E017E"/>
    <w:rsid w:val="000E3AC1"/>
    <w:rsid w:val="000F5645"/>
    <w:rsid w:val="00100F54"/>
    <w:rsid w:val="001030F2"/>
    <w:rsid w:val="0011200B"/>
    <w:rsid w:val="0011734A"/>
    <w:rsid w:val="00125830"/>
    <w:rsid w:val="001436F1"/>
    <w:rsid w:val="00151430"/>
    <w:rsid w:val="001648D5"/>
    <w:rsid w:val="00190C0C"/>
    <w:rsid w:val="00190D6B"/>
    <w:rsid w:val="00192D98"/>
    <w:rsid w:val="001961CC"/>
    <w:rsid w:val="001B41E1"/>
    <w:rsid w:val="001C13A4"/>
    <w:rsid w:val="001D1358"/>
    <w:rsid w:val="001D2949"/>
    <w:rsid w:val="001D7573"/>
    <w:rsid w:val="001E1D05"/>
    <w:rsid w:val="001E1FE2"/>
    <w:rsid w:val="001E38B4"/>
    <w:rsid w:val="00203B75"/>
    <w:rsid w:val="00207695"/>
    <w:rsid w:val="00233A7A"/>
    <w:rsid w:val="00242E16"/>
    <w:rsid w:val="00243A4D"/>
    <w:rsid w:val="00244A55"/>
    <w:rsid w:val="00247AF6"/>
    <w:rsid w:val="002657BA"/>
    <w:rsid w:val="00266C54"/>
    <w:rsid w:val="00274BAB"/>
    <w:rsid w:val="002818CD"/>
    <w:rsid w:val="00285DB5"/>
    <w:rsid w:val="0029686E"/>
    <w:rsid w:val="002A1559"/>
    <w:rsid w:val="002C5388"/>
    <w:rsid w:val="0030461D"/>
    <w:rsid w:val="00325001"/>
    <w:rsid w:val="0033192E"/>
    <w:rsid w:val="00336D38"/>
    <w:rsid w:val="00337947"/>
    <w:rsid w:val="00337FAB"/>
    <w:rsid w:val="00342C5A"/>
    <w:rsid w:val="00365392"/>
    <w:rsid w:val="00365E9F"/>
    <w:rsid w:val="00376543"/>
    <w:rsid w:val="0037681C"/>
    <w:rsid w:val="003855E7"/>
    <w:rsid w:val="003C13A1"/>
    <w:rsid w:val="003C2A8F"/>
    <w:rsid w:val="003C363A"/>
    <w:rsid w:val="003D6254"/>
    <w:rsid w:val="003E6D87"/>
    <w:rsid w:val="003F2913"/>
    <w:rsid w:val="003F2FAE"/>
    <w:rsid w:val="004221A0"/>
    <w:rsid w:val="00426EED"/>
    <w:rsid w:val="00446A70"/>
    <w:rsid w:val="00447790"/>
    <w:rsid w:val="00454327"/>
    <w:rsid w:val="00457F3D"/>
    <w:rsid w:val="004612AB"/>
    <w:rsid w:val="004639FF"/>
    <w:rsid w:val="004642DD"/>
    <w:rsid w:val="00465A15"/>
    <w:rsid w:val="004676B8"/>
    <w:rsid w:val="00472BD4"/>
    <w:rsid w:val="0047567D"/>
    <w:rsid w:val="00480E14"/>
    <w:rsid w:val="004A6AA2"/>
    <w:rsid w:val="004B23D2"/>
    <w:rsid w:val="004B60C0"/>
    <w:rsid w:val="004B73E5"/>
    <w:rsid w:val="004E7084"/>
    <w:rsid w:val="00531750"/>
    <w:rsid w:val="00535EF2"/>
    <w:rsid w:val="005362B8"/>
    <w:rsid w:val="00536809"/>
    <w:rsid w:val="0055260A"/>
    <w:rsid w:val="00552DF5"/>
    <w:rsid w:val="005673A4"/>
    <w:rsid w:val="00576CBA"/>
    <w:rsid w:val="00584A3F"/>
    <w:rsid w:val="005909F5"/>
    <w:rsid w:val="0059771B"/>
    <w:rsid w:val="005A002F"/>
    <w:rsid w:val="005B7E8B"/>
    <w:rsid w:val="005E1E64"/>
    <w:rsid w:val="005E43DA"/>
    <w:rsid w:val="005F5B19"/>
    <w:rsid w:val="00600E8E"/>
    <w:rsid w:val="00605AA3"/>
    <w:rsid w:val="00605AF2"/>
    <w:rsid w:val="00610370"/>
    <w:rsid w:val="00613370"/>
    <w:rsid w:val="00613757"/>
    <w:rsid w:val="00621EB6"/>
    <w:rsid w:val="00622CF4"/>
    <w:rsid w:val="00627704"/>
    <w:rsid w:val="00634B52"/>
    <w:rsid w:val="00653CAE"/>
    <w:rsid w:val="00664F17"/>
    <w:rsid w:val="00677F2D"/>
    <w:rsid w:val="0068272C"/>
    <w:rsid w:val="006C02C8"/>
    <w:rsid w:val="006C609E"/>
    <w:rsid w:val="00703C3B"/>
    <w:rsid w:val="00710629"/>
    <w:rsid w:val="00711C96"/>
    <w:rsid w:val="00715144"/>
    <w:rsid w:val="00717248"/>
    <w:rsid w:val="007214F6"/>
    <w:rsid w:val="007320B5"/>
    <w:rsid w:val="00743F87"/>
    <w:rsid w:val="007445E9"/>
    <w:rsid w:val="00750F93"/>
    <w:rsid w:val="00751451"/>
    <w:rsid w:val="00766B49"/>
    <w:rsid w:val="00770EE3"/>
    <w:rsid w:val="00783FD4"/>
    <w:rsid w:val="00784F6E"/>
    <w:rsid w:val="00790EA3"/>
    <w:rsid w:val="007924D1"/>
    <w:rsid w:val="007A6A89"/>
    <w:rsid w:val="007B1185"/>
    <w:rsid w:val="007B535D"/>
    <w:rsid w:val="007C084A"/>
    <w:rsid w:val="007D7644"/>
    <w:rsid w:val="007D78DD"/>
    <w:rsid w:val="007E1826"/>
    <w:rsid w:val="007E5E4C"/>
    <w:rsid w:val="007F3BE0"/>
    <w:rsid w:val="0082209B"/>
    <w:rsid w:val="00827E1F"/>
    <w:rsid w:val="008315B9"/>
    <w:rsid w:val="008369BB"/>
    <w:rsid w:val="008548D6"/>
    <w:rsid w:val="00860399"/>
    <w:rsid w:val="00871579"/>
    <w:rsid w:val="008766DB"/>
    <w:rsid w:val="00887701"/>
    <w:rsid w:val="0089212C"/>
    <w:rsid w:val="008A74D3"/>
    <w:rsid w:val="008A77DC"/>
    <w:rsid w:val="008C6E0E"/>
    <w:rsid w:val="008C7F1B"/>
    <w:rsid w:val="008D1D4A"/>
    <w:rsid w:val="008E2E2D"/>
    <w:rsid w:val="008E4725"/>
    <w:rsid w:val="008F3FE4"/>
    <w:rsid w:val="0091003F"/>
    <w:rsid w:val="0092778A"/>
    <w:rsid w:val="009326BA"/>
    <w:rsid w:val="009442BA"/>
    <w:rsid w:val="00966555"/>
    <w:rsid w:val="0098262F"/>
    <w:rsid w:val="00986DB3"/>
    <w:rsid w:val="009944C6"/>
    <w:rsid w:val="009A2A2E"/>
    <w:rsid w:val="009C49A4"/>
    <w:rsid w:val="009D7C35"/>
    <w:rsid w:val="009F37D0"/>
    <w:rsid w:val="009F38AF"/>
    <w:rsid w:val="00A019E2"/>
    <w:rsid w:val="00A20E4B"/>
    <w:rsid w:val="00A225D6"/>
    <w:rsid w:val="00A22B6B"/>
    <w:rsid w:val="00A4400D"/>
    <w:rsid w:val="00A47390"/>
    <w:rsid w:val="00A64FBE"/>
    <w:rsid w:val="00A661BC"/>
    <w:rsid w:val="00A81C39"/>
    <w:rsid w:val="00A82DC2"/>
    <w:rsid w:val="00A90EAA"/>
    <w:rsid w:val="00A92200"/>
    <w:rsid w:val="00A942E8"/>
    <w:rsid w:val="00AA65FB"/>
    <w:rsid w:val="00AB4851"/>
    <w:rsid w:val="00AB5561"/>
    <w:rsid w:val="00AB5BB0"/>
    <w:rsid w:val="00AD31BE"/>
    <w:rsid w:val="00AD72E7"/>
    <w:rsid w:val="00AD7A23"/>
    <w:rsid w:val="00AE5130"/>
    <w:rsid w:val="00AE5ECC"/>
    <w:rsid w:val="00AE680F"/>
    <w:rsid w:val="00AF4B7D"/>
    <w:rsid w:val="00B145E7"/>
    <w:rsid w:val="00B300A9"/>
    <w:rsid w:val="00B329D5"/>
    <w:rsid w:val="00B34426"/>
    <w:rsid w:val="00B43EA9"/>
    <w:rsid w:val="00B815B9"/>
    <w:rsid w:val="00B8399E"/>
    <w:rsid w:val="00B8439D"/>
    <w:rsid w:val="00B868B2"/>
    <w:rsid w:val="00B90B3D"/>
    <w:rsid w:val="00BA3CBC"/>
    <w:rsid w:val="00BC12F7"/>
    <w:rsid w:val="00BC2EDD"/>
    <w:rsid w:val="00BD17D6"/>
    <w:rsid w:val="00BD2292"/>
    <w:rsid w:val="00BD5DBD"/>
    <w:rsid w:val="00BF3C9B"/>
    <w:rsid w:val="00BF4530"/>
    <w:rsid w:val="00C00D8F"/>
    <w:rsid w:val="00C23A92"/>
    <w:rsid w:val="00C3357A"/>
    <w:rsid w:val="00C34436"/>
    <w:rsid w:val="00C35268"/>
    <w:rsid w:val="00C55BE6"/>
    <w:rsid w:val="00C66F42"/>
    <w:rsid w:val="00C7470C"/>
    <w:rsid w:val="00C823ED"/>
    <w:rsid w:val="00C82BE8"/>
    <w:rsid w:val="00C9184A"/>
    <w:rsid w:val="00C94F87"/>
    <w:rsid w:val="00CA4F3D"/>
    <w:rsid w:val="00CB3E44"/>
    <w:rsid w:val="00CF1642"/>
    <w:rsid w:val="00D00F55"/>
    <w:rsid w:val="00D4321B"/>
    <w:rsid w:val="00D4605D"/>
    <w:rsid w:val="00D618C6"/>
    <w:rsid w:val="00D64506"/>
    <w:rsid w:val="00D822A3"/>
    <w:rsid w:val="00D824F8"/>
    <w:rsid w:val="00D83CD8"/>
    <w:rsid w:val="00D8513E"/>
    <w:rsid w:val="00D953CE"/>
    <w:rsid w:val="00D971B2"/>
    <w:rsid w:val="00DD3B3A"/>
    <w:rsid w:val="00DE21C8"/>
    <w:rsid w:val="00DE718E"/>
    <w:rsid w:val="00DF3F9D"/>
    <w:rsid w:val="00DF4E4E"/>
    <w:rsid w:val="00DF6FA7"/>
    <w:rsid w:val="00E03162"/>
    <w:rsid w:val="00E10EDE"/>
    <w:rsid w:val="00E1731E"/>
    <w:rsid w:val="00E32BFF"/>
    <w:rsid w:val="00E34F64"/>
    <w:rsid w:val="00E40287"/>
    <w:rsid w:val="00E47D31"/>
    <w:rsid w:val="00E94022"/>
    <w:rsid w:val="00EA5CFE"/>
    <w:rsid w:val="00EB3C32"/>
    <w:rsid w:val="00EC4CED"/>
    <w:rsid w:val="00ED4401"/>
    <w:rsid w:val="00EE0259"/>
    <w:rsid w:val="00EE1C8B"/>
    <w:rsid w:val="00EE7D8A"/>
    <w:rsid w:val="00EF3D38"/>
    <w:rsid w:val="00EF6FEA"/>
    <w:rsid w:val="00EF7639"/>
    <w:rsid w:val="00F01516"/>
    <w:rsid w:val="00F02C76"/>
    <w:rsid w:val="00F04F10"/>
    <w:rsid w:val="00F101AD"/>
    <w:rsid w:val="00F10795"/>
    <w:rsid w:val="00F23234"/>
    <w:rsid w:val="00F25BD3"/>
    <w:rsid w:val="00F3028A"/>
    <w:rsid w:val="00F31FCC"/>
    <w:rsid w:val="00F43FC4"/>
    <w:rsid w:val="00F479EC"/>
    <w:rsid w:val="00F52FDA"/>
    <w:rsid w:val="00F53932"/>
    <w:rsid w:val="00F5541A"/>
    <w:rsid w:val="00F55978"/>
    <w:rsid w:val="00F827B2"/>
    <w:rsid w:val="00F950F1"/>
    <w:rsid w:val="00FA6A26"/>
    <w:rsid w:val="00FB2BE2"/>
    <w:rsid w:val="00FD1CD8"/>
    <w:rsid w:val="00FD6498"/>
    <w:rsid w:val="00FE64FA"/>
    <w:rsid w:val="00FF55C5"/>
    <w:rsid w:val="00FF7023"/>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20A4391-ACDE-4182-85BB-A6303724E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1185"/>
    <w:rPr>
      <w:lang w:val="es-ES_tradnl"/>
    </w:rPr>
  </w:style>
  <w:style w:type="paragraph" w:styleId="Ttulo1">
    <w:name w:val="heading 1"/>
    <w:basedOn w:val="Normal"/>
    <w:next w:val="Normal"/>
    <w:qFormat/>
    <w:rsid w:val="007B1185"/>
    <w:pPr>
      <w:keepNext/>
      <w:spacing w:line="480" w:lineRule="auto"/>
      <w:jc w:val="center"/>
      <w:outlineLvl w:val="0"/>
    </w:pPr>
    <w:rPr>
      <w:rFonts w:ascii="Arial" w:hAnsi="Arial"/>
      <w:b/>
      <w:sz w:val="24"/>
    </w:rPr>
  </w:style>
  <w:style w:type="paragraph" w:styleId="Ttulo2">
    <w:name w:val="heading 2"/>
    <w:aliases w:val="Edgar 2,Título 2 -BCN"/>
    <w:basedOn w:val="Normal"/>
    <w:next w:val="Normal"/>
    <w:qFormat/>
    <w:rsid w:val="007B1185"/>
    <w:pPr>
      <w:keepNext/>
      <w:outlineLvl w:val="1"/>
    </w:pPr>
    <w:rPr>
      <w:rFonts w:ascii="Arial" w:hAnsi="Arial"/>
      <w:b/>
      <w:bCs/>
      <w:sz w:val="24"/>
    </w:rPr>
  </w:style>
  <w:style w:type="paragraph" w:styleId="Ttulo3">
    <w:name w:val="heading 3"/>
    <w:basedOn w:val="Normal"/>
    <w:next w:val="Normal"/>
    <w:qFormat/>
    <w:rsid w:val="007B1185"/>
    <w:pPr>
      <w:keepNext/>
      <w:jc w:val="both"/>
      <w:outlineLvl w:val="2"/>
    </w:pPr>
    <w:rPr>
      <w:rFonts w:ascii="Arial" w:hAnsi="Arial"/>
      <w:sz w:val="24"/>
    </w:rPr>
  </w:style>
  <w:style w:type="paragraph" w:styleId="Ttulo4">
    <w:name w:val="heading 4"/>
    <w:basedOn w:val="Normal"/>
    <w:next w:val="Normal"/>
    <w:qFormat/>
    <w:rsid w:val="007B1185"/>
    <w:pPr>
      <w:keepNext/>
      <w:jc w:val="both"/>
      <w:outlineLvl w:val="3"/>
    </w:pPr>
    <w:rPr>
      <w:rFonts w:ascii="Arial" w:hAnsi="Arial"/>
      <w:b/>
      <w:sz w:val="24"/>
    </w:rPr>
  </w:style>
  <w:style w:type="paragraph" w:styleId="Ttulo5">
    <w:name w:val="heading 5"/>
    <w:basedOn w:val="Normal"/>
    <w:next w:val="Normal"/>
    <w:qFormat/>
    <w:rsid w:val="007B1185"/>
    <w:pPr>
      <w:keepNext/>
      <w:jc w:val="both"/>
      <w:outlineLvl w:val="4"/>
    </w:pPr>
    <w:rPr>
      <w:b/>
      <w:sz w:val="12"/>
    </w:rPr>
  </w:style>
  <w:style w:type="paragraph" w:styleId="Ttulo6">
    <w:name w:val="heading 6"/>
    <w:basedOn w:val="Normal"/>
    <w:next w:val="Normal"/>
    <w:qFormat/>
    <w:rsid w:val="007B1185"/>
    <w:pPr>
      <w:keepNext/>
      <w:outlineLvl w:val="5"/>
    </w:pPr>
    <w:rPr>
      <w:rFonts w:ascii="Tahoma" w:hAnsi="Tahoma"/>
      <w:sz w:val="24"/>
    </w:rPr>
  </w:style>
  <w:style w:type="paragraph" w:styleId="Ttulo7">
    <w:name w:val="heading 7"/>
    <w:basedOn w:val="Normal"/>
    <w:next w:val="Normal"/>
    <w:qFormat/>
    <w:rsid w:val="007B1185"/>
    <w:pPr>
      <w:keepNext/>
      <w:outlineLvl w:val="6"/>
    </w:pPr>
    <w:rPr>
      <w:rFonts w:ascii="Arial" w:hAnsi="Arial"/>
      <w:b/>
      <w:sz w:val="16"/>
      <w:lang w:val="es-ES"/>
    </w:rPr>
  </w:style>
  <w:style w:type="paragraph" w:styleId="Ttulo8">
    <w:name w:val="heading 8"/>
    <w:basedOn w:val="Normal"/>
    <w:next w:val="Normal"/>
    <w:qFormat/>
    <w:rsid w:val="007B1185"/>
    <w:pPr>
      <w:keepNext/>
      <w:outlineLvl w:val="7"/>
    </w:pPr>
    <w:rPr>
      <w:rFonts w:ascii="Arial" w:hAnsi="Arial" w:cs="Arial"/>
      <w:b/>
      <w:bCs/>
      <w:sz w:val="12"/>
      <w:lang w:val="es-MX"/>
    </w:rPr>
  </w:style>
  <w:style w:type="paragraph" w:styleId="Ttulo9">
    <w:name w:val="heading 9"/>
    <w:basedOn w:val="Normal"/>
    <w:next w:val="Normal"/>
    <w:qFormat/>
    <w:rsid w:val="007B1185"/>
    <w:pPr>
      <w:keepNext/>
      <w:outlineLvl w:val="8"/>
    </w:pPr>
    <w:rPr>
      <w:rFonts w:ascii="Arial" w:hAnsi="Arial"/>
      <w:b/>
      <w:sz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B1185"/>
    <w:pPr>
      <w:tabs>
        <w:tab w:val="center" w:pos="4252"/>
        <w:tab w:val="right" w:pos="8504"/>
      </w:tabs>
    </w:pPr>
  </w:style>
  <w:style w:type="paragraph" w:styleId="Piedepgina">
    <w:name w:val="footer"/>
    <w:basedOn w:val="Normal"/>
    <w:link w:val="PiedepginaCar"/>
    <w:semiHidden/>
    <w:rsid w:val="007B1185"/>
    <w:pPr>
      <w:tabs>
        <w:tab w:val="center" w:pos="4252"/>
        <w:tab w:val="right" w:pos="8504"/>
      </w:tabs>
    </w:pPr>
  </w:style>
  <w:style w:type="paragraph" w:styleId="Mapadeldocumento">
    <w:name w:val="Document Map"/>
    <w:basedOn w:val="Normal"/>
    <w:semiHidden/>
    <w:rsid w:val="007B1185"/>
    <w:pPr>
      <w:shd w:val="clear" w:color="auto" w:fill="000080"/>
    </w:pPr>
    <w:rPr>
      <w:rFonts w:ascii="Tahoma" w:hAnsi="Tahoma"/>
    </w:rPr>
  </w:style>
  <w:style w:type="paragraph" w:styleId="Textodeglobo">
    <w:name w:val="Balloon Text"/>
    <w:basedOn w:val="Normal"/>
    <w:semiHidden/>
    <w:rsid w:val="007B1185"/>
    <w:rPr>
      <w:rFonts w:ascii="Tahoma" w:hAnsi="Tahoma" w:cs="Futura Bk BT"/>
      <w:sz w:val="16"/>
      <w:szCs w:val="16"/>
    </w:rPr>
  </w:style>
  <w:style w:type="character" w:styleId="Hipervnculo">
    <w:name w:val="Hyperlink"/>
    <w:basedOn w:val="Fuentedeprrafopredeter"/>
    <w:uiPriority w:val="99"/>
    <w:rsid w:val="007B1185"/>
    <w:rPr>
      <w:color w:val="0000FF"/>
      <w:u w:val="single"/>
    </w:rPr>
  </w:style>
  <w:style w:type="paragraph" w:styleId="Sangradetextonormal">
    <w:name w:val="Body Text Indent"/>
    <w:basedOn w:val="Normal"/>
    <w:semiHidden/>
    <w:rsid w:val="007B1185"/>
    <w:pPr>
      <w:ind w:left="2835" w:hanging="2835"/>
    </w:pPr>
    <w:rPr>
      <w:rFonts w:ascii="Arial" w:hAnsi="Arial"/>
      <w:sz w:val="24"/>
      <w:lang w:val="es-MX"/>
    </w:rPr>
  </w:style>
  <w:style w:type="paragraph" w:styleId="Textoindependiente2">
    <w:name w:val="Body Text 2"/>
    <w:basedOn w:val="Normal"/>
    <w:semiHidden/>
    <w:rsid w:val="007B1185"/>
    <w:pPr>
      <w:jc w:val="both"/>
    </w:pPr>
    <w:rPr>
      <w:rFonts w:ascii="Arial" w:hAnsi="Arial"/>
      <w:sz w:val="24"/>
      <w:lang w:val="es-ES"/>
    </w:rPr>
  </w:style>
  <w:style w:type="paragraph" w:styleId="Textoindependiente">
    <w:name w:val="Body Text"/>
    <w:basedOn w:val="Normal"/>
    <w:semiHidden/>
    <w:rsid w:val="007B1185"/>
    <w:pPr>
      <w:tabs>
        <w:tab w:val="left" w:pos="5460"/>
      </w:tabs>
      <w:jc w:val="both"/>
    </w:pPr>
    <w:rPr>
      <w:rFonts w:ascii="Arial" w:hAnsi="Arial" w:cs="Arial"/>
      <w:sz w:val="22"/>
      <w:lang w:val="es-MX"/>
    </w:rPr>
  </w:style>
  <w:style w:type="paragraph" w:styleId="Textonotapie">
    <w:name w:val="footnote text"/>
    <w:basedOn w:val="Normal"/>
    <w:link w:val="TextonotapieCar"/>
    <w:uiPriority w:val="99"/>
    <w:rsid w:val="007B1185"/>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basedOn w:val="Fuentedeprrafopredeter"/>
    <w:uiPriority w:val="99"/>
    <w:qFormat/>
    <w:rsid w:val="007B1185"/>
    <w:rPr>
      <w:vertAlign w:val="superscript"/>
    </w:rPr>
  </w:style>
  <w:style w:type="paragraph" w:styleId="NormalWeb">
    <w:name w:val="Normal (Web)"/>
    <w:basedOn w:val="Normal"/>
    <w:uiPriority w:val="99"/>
    <w:rsid w:val="007B1185"/>
    <w:pPr>
      <w:spacing w:before="100" w:beforeAutospacing="1" w:after="100" w:afterAutospacing="1"/>
    </w:pPr>
    <w:rPr>
      <w:rFonts w:ascii="Arial Unicode MS" w:eastAsia="Arial Unicode MS" w:hAnsi="Arial Unicode MS" w:cs="Tahoma"/>
      <w:sz w:val="24"/>
      <w:szCs w:val="24"/>
      <w:lang w:val="es-ES"/>
    </w:rPr>
  </w:style>
  <w:style w:type="paragraph" w:styleId="Textoindependiente3">
    <w:name w:val="Body Text 3"/>
    <w:basedOn w:val="Normal"/>
    <w:semiHidden/>
    <w:rsid w:val="007B1185"/>
    <w:pPr>
      <w:jc w:val="both"/>
    </w:pPr>
    <w:rPr>
      <w:rFonts w:ascii="Arial" w:hAnsi="Arial" w:cs="Arial"/>
      <w:sz w:val="24"/>
      <w:szCs w:val="24"/>
      <w:lang w:val="es-CO"/>
    </w:rPr>
  </w:style>
  <w:style w:type="character" w:styleId="Hipervnculovisitado">
    <w:name w:val="FollowedHyperlink"/>
    <w:basedOn w:val="Fuentedeprrafopredeter"/>
    <w:semiHidden/>
    <w:rsid w:val="007B1185"/>
    <w:rPr>
      <w:color w:val="800080"/>
      <w:u w:val="single"/>
    </w:rPr>
  </w:style>
  <w:style w:type="paragraph" w:customStyle="1" w:styleId="Textoindependiente21">
    <w:name w:val="Texto independiente 21"/>
    <w:basedOn w:val="Normal"/>
    <w:rsid w:val="007B1185"/>
    <w:rPr>
      <w:rFonts w:ascii="Arial" w:hAnsi="Arial"/>
      <w:b/>
      <w:color w:val="000000"/>
      <w:sz w:val="16"/>
      <w:lang w:val="es-ES"/>
    </w:rPr>
  </w:style>
  <w:style w:type="paragraph" w:customStyle="1" w:styleId="MARITZA3">
    <w:name w:val="MARITZA3"/>
    <w:rsid w:val="007B1185"/>
    <w:pPr>
      <w:tabs>
        <w:tab w:val="left" w:pos="-720"/>
        <w:tab w:val="left" w:pos="0"/>
      </w:tabs>
      <w:jc w:val="both"/>
    </w:pPr>
    <w:rPr>
      <w:sz w:val="24"/>
      <w:lang w:val="en-US"/>
    </w:rPr>
  </w:style>
  <w:style w:type="character" w:styleId="Refdecomentario">
    <w:name w:val="annotation reference"/>
    <w:basedOn w:val="Fuentedeprrafopredeter"/>
    <w:semiHidden/>
    <w:rsid w:val="007B1185"/>
    <w:rPr>
      <w:sz w:val="16"/>
      <w:szCs w:val="16"/>
    </w:rPr>
  </w:style>
  <w:style w:type="paragraph" w:styleId="Textocomentario">
    <w:name w:val="annotation text"/>
    <w:basedOn w:val="Normal"/>
    <w:semiHidden/>
    <w:rsid w:val="007B1185"/>
    <w:rPr>
      <w:lang w:val="es-ES"/>
    </w:rPr>
  </w:style>
  <w:style w:type="paragraph" w:styleId="Textodebloque">
    <w:name w:val="Block Text"/>
    <w:basedOn w:val="Normal"/>
    <w:semiHidden/>
    <w:rsid w:val="007B1185"/>
    <w:pPr>
      <w:ind w:left="284" w:right="335"/>
      <w:jc w:val="both"/>
    </w:pPr>
    <w:rPr>
      <w:rFonts w:ascii="Arial" w:hAnsi="Arial" w:cs="Arial"/>
      <w:sz w:val="22"/>
    </w:rPr>
  </w:style>
  <w:style w:type="paragraph" w:customStyle="1" w:styleId="Direccininterior">
    <w:name w:val="Dirección interior"/>
    <w:basedOn w:val="Normal"/>
    <w:rsid w:val="007B1185"/>
    <w:pPr>
      <w:spacing w:line="220" w:lineRule="atLeast"/>
      <w:jc w:val="both"/>
    </w:pPr>
    <w:rPr>
      <w:rFonts w:ascii="Arial" w:eastAsia="Batang" w:hAnsi="Arial"/>
      <w:spacing w:val="-5"/>
      <w:lang w:val="es-ES" w:eastAsia="en-US"/>
    </w:rPr>
  </w:style>
  <w:style w:type="paragraph" w:styleId="Ttulo">
    <w:name w:val="Title"/>
    <w:basedOn w:val="Normal"/>
    <w:qFormat/>
    <w:rsid w:val="007B1185"/>
    <w:pPr>
      <w:suppressAutoHyphens/>
      <w:jc w:val="center"/>
    </w:pPr>
    <w:rPr>
      <w:rFonts w:ascii="Arial" w:hAnsi="Arial" w:cs="Arial"/>
      <w:b/>
      <w:sz w:val="22"/>
      <w:lang w:val="es-MX"/>
    </w:rPr>
  </w:style>
  <w:style w:type="paragraph" w:styleId="Sangra2detindependiente">
    <w:name w:val="Body Text Indent 2"/>
    <w:basedOn w:val="Normal"/>
    <w:semiHidden/>
    <w:rsid w:val="007B1185"/>
    <w:pPr>
      <w:ind w:left="6379" w:hanging="6379"/>
    </w:pPr>
    <w:rPr>
      <w:rFonts w:ascii="Arial" w:hAnsi="Arial" w:cs="Arial"/>
      <w:bCs/>
      <w:sz w:val="24"/>
      <w:lang w:val="es-MX"/>
    </w:rPr>
  </w:style>
  <w:style w:type="paragraph" w:customStyle="1" w:styleId="xl38">
    <w:name w:val="xl38"/>
    <w:basedOn w:val="Normal"/>
    <w:rsid w:val="007B1185"/>
    <w:pPr>
      <w:pBdr>
        <w:left w:val="single" w:sz="4" w:space="0" w:color="auto"/>
        <w:right w:val="single" w:sz="4" w:space="0" w:color="auto"/>
      </w:pBdr>
      <w:spacing w:before="100" w:beforeAutospacing="1" w:after="100" w:afterAutospacing="1"/>
      <w:jc w:val="center"/>
    </w:pPr>
    <w:rPr>
      <w:rFonts w:ascii="Arial Unicode MS" w:eastAsia="Arial Unicode MS" w:hAnsi="Arial Unicode MS" w:cs="Tahoma"/>
      <w:sz w:val="24"/>
      <w:szCs w:val="24"/>
      <w:lang w:val="es-ES"/>
    </w:rPr>
  </w:style>
  <w:style w:type="character" w:customStyle="1" w:styleId="EncabezadoCar">
    <w:name w:val="Encabezado Car"/>
    <w:basedOn w:val="Fuentedeprrafopredeter"/>
    <w:link w:val="Encabezado"/>
    <w:uiPriority w:val="99"/>
    <w:rsid w:val="00046257"/>
    <w:rPr>
      <w:lang w:val="es-ES_tradnl" w:eastAsia="es-ES"/>
    </w:rPr>
  </w:style>
  <w:style w:type="table" w:styleId="Tablaconcuadrcula">
    <w:name w:val="Table Grid"/>
    <w:basedOn w:val="Tablanormal"/>
    <w:uiPriority w:val="59"/>
    <w:rsid w:val="003765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epginaCar">
    <w:name w:val="Pie de página Car"/>
    <w:basedOn w:val="Fuentedeprrafopredeter"/>
    <w:link w:val="Piedepgina"/>
    <w:semiHidden/>
    <w:rsid w:val="00B8439D"/>
    <w:rPr>
      <w:lang w:val="es-ES_tradnl"/>
    </w:rPr>
  </w:style>
  <w:style w:type="paragraph" w:styleId="Prrafodelista">
    <w:name w:val="List Paragraph"/>
    <w:basedOn w:val="Normal"/>
    <w:uiPriority w:val="34"/>
    <w:qFormat/>
    <w:rsid w:val="00A82DC2"/>
    <w:pPr>
      <w:ind w:left="720"/>
      <w:contextualSpacing/>
    </w:pPr>
  </w:style>
  <w:style w:type="character" w:customStyle="1" w:styleId="TextonotapieCar">
    <w:name w:val="Texto nota pie Car"/>
    <w:link w:val="Textonotapie"/>
    <w:uiPriority w:val="99"/>
    <w:rsid w:val="00A82DC2"/>
    <w:rPr>
      <w:lang w:val="es-ES_tradnl"/>
    </w:rPr>
  </w:style>
  <w:style w:type="paragraph" w:styleId="Descripcin">
    <w:name w:val="caption"/>
    <w:basedOn w:val="Normal"/>
    <w:next w:val="Normal"/>
    <w:link w:val="DescripcinCar"/>
    <w:uiPriority w:val="35"/>
    <w:unhideWhenUsed/>
    <w:qFormat/>
    <w:rsid w:val="00A82DC2"/>
    <w:pPr>
      <w:spacing w:after="200"/>
    </w:pPr>
    <w:rPr>
      <w:rFonts w:ascii="Cambria" w:hAnsi="Cambria"/>
      <w:b/>
      <w:bCs/>
      <w:color w:val="4F81BD"/>
      <w:sz w:val="18"/>
      <w:szCs w:val="18"/>
      <w:lang w:val="es-CO"/>
    </w:rPr>
  </w:style>
  <w:style w:type="character" w:customStyle="1" w:styleId="DescripcinCar">
    <w:name w:val="Descripción Car"/>
    <w:link w:val="Descripcin"/>
    <w:uiPriority w:val="35"/>
    <w:locked/>
    <w:rsid w:val="00A82DC2"/>
    <w:rPr>
      <w:rFonts w:ascii="Cambria" w:hAnsi="Cambria"/>
      <w:b/>
      <w:bCs/>
      <w:color w:val="4F81BD"/>
      <w:sz w:val="18"/>
      <w:szCs w:val="18"/>
      <w:lang w:val="es-CO"/>
    </w:rPr>
  </w:style>
  <w:style w:type="paragraph" w:styleId="Sinespaciado">
    <w:name w:val="No Spacing"/>
    <w:uiPriority w:val="1"/>
    <w:qFormat/>
    <w:rsid w:val="00A82DC2"/>
    <w:rPr>
      <w:rFonts w:asciiTheme="minorHAnsi" w:eastAsiaTheme="minorHAnsi" w:hAnsiTheme="minorHAnsi" w:cstheme="minorBidi"/>
      <w:sz w:val="22"/>
      <w:szCs w:val="22"/>
      <w:lang w:val="es-CO" w:eastAsia="en-US"/>
    </w:rPr>
  </w:style>
  <w:style w:type="paragraph" w:styleId="TtuloTDC">
    <w:name w:val="TOC Heading"/>
    <w:basedOn w:val="Ttulo1"/>
    <w:next w:val="Normal"/>
    <w:uiPriority w:val="39"/>
    <w:unhideWhenUsed/>
    <w:qFormat/>
    <w:rsid w:val="00A82DC2"/>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s-ES"/>
    </w:rPr>
  </w:style>
  <w:style w:type="paragraph" w:styleId="TDC1">
    <w:name w:val="toc 1"/>
    <w:basedOn w:val="Normal"/>
    <w:next w:val="Normal"/>
    <w:autoRedefine/>
    <w:uiPriority w:val="39"/>
    <w:unhideWhenUsed/>
    <w:rsid w:val="00A82DC2"/>
    <w:pPr>
      <w:spacing w:after="100"/>
    </w:pPr>
  </w:style>
  <w:style w:type="paragraph" w:styleId="TDC3">
    <w:name w:val="toc 3"/>
    <w:basedOn w:val="Normal"/>
    <w:next w:val="Normal"/>
    <w:autoRedefine/>
    <w:uiPriority w:val="39"/>
    <w:unhideWhenUsed/>
    <w:rsid w:val="00A82DC2"/>
    <w:pPr>
      <w:spacing w:after="100"/>
      <w:ind w:left="400"/>
    </w:pPr>
  </w:style>
  <w:style w:type="character" w:customStyle="1" w:styleId="highlight">
    <w:name w:val="highlight"/>
    <w:basedOn w:val="Fuentedeprrafopredeter"/>
    <w:rsid w:val="00265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597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bit.ly/2jC8lvS"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t.ly/2jC8lv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hyperlink" Target="http://www.habitat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WTSRV\Profiles\dlpinilla\Desktop\MEM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MEMO</Template>
  <TotalTime>401</TotalTime>
  <Pages>15</Pages>
  <Words>3165</Words>
  <Characters>17410</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Memorando</vt:lpstr>
    </vt:vector>
  </TitlesOfParts>
  <Company>LG  Electronics Inc.</Company>
  <LinksUpToDate>false</LinksUpToDate>
  <CharactersWithSpaces>20534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Secretaria General</dc:creator>
  <cp:lastModifiedBy>Claudia Patricia Guerrero Pantoja</cp:lastModifiedBy>
  <cp:revision>99</cp:revision>
  <cp:lastPrinted>2011-10-05T12:47:00Z</cp:lastPrinted>
  <dcterms:created xsi:type="dcterms:W3CDTF">2018-01-25T16:01:00Z</dcterms:created>
  <dcterms:modified xsi:type="dcterms:W3CDTF">2018-01-31T20:55:00Z</dcterms:modified>
</cp:coreProperties>
</file>