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D3585" w14:textId="2FFD4402" w:rsidR="00EF06C9" w:rsidRDefault="00EF06C9" w:rsidP="00C14BFA">
      <w:pPr>
        <w:jc w:val="center"/>
        <w:rPr>
          <w:rFonts w:asciiTheme="majorHAnsi" w:hAnsiTheme="majorHAnsi"/>
          <w:b/>
          <w:color w:val="000000" w:themeColor="text1"/>
          <w:sz w:val="32"/>
          <w:szCs w:val="32"/>
        </w:rPr>
      </w:pPr>
    </w:p>
    <w:p w14:paraId="2226C91C" w14:textId="77777777" w:rsidR="00AC44A1" w:rsidRDefault="00AC44A1" w:rsidP="00C14BFA">
      <w:pPr>
        <w:jc w:val="center"/>
        <w:rPr>
          <w:rFonts w:asciiTheme="majorHAnsi" w:hAnsiTheme="majorHAnsi"/>
          <w:b/>
          <w:color w:val="000000" w:themeColor="text1"/>
          <w:sz w:val="32"/>
          <w:szCs w:val="32"/>
        </w:rPr>
      </w:pPr>
    </w:p>
    <w:p w14:paraId="2E479E3E" w14:textId="2694C4C3" w:rsidR="00C14BFA" w:rsidRPr="00F22CC9" w:rsidRDefault="00C14BFA" w:rsidP="00C14BFA">
      <w:pPr>
        <w:jc w:val="center"/>
        <w:rPr>
          <w:rFonts w:asciiTheme="majorHAnsi" w:hAnsiTheme="majorHAnsi"/>
          <w:b/>
          <w:color w:val="404040" w:themeColor="text1" w:themeTint="BF"/>
          <w:sz w:val="32"/>
          <w:szCs w:val="32"/>
        </w:rPr>
      </w:pPr>
      <w:r w:rsidRPr="00F22CC9">
        <w:rPr>
          <w:rFonts w:asciiTheme="majorHAnsi" w:hAnsiTheme="majorHAnsi"/>
          <w:b/>
          <w:color w:val="404040" w:themeColor="text1" w:themeTint="BF"/>
          <w:sz w:val="32"/>
          <w:szCs w:val="32"/>
        </w:rPr>
        <w:t>Secretaría Distrital del Hábitat</w:t>
      </w:r>
    </w:p>
    <w:p w14:paraId="0C8E8173" w14:textId="77777777" w:rsidR="00C14BFA" w:rsidRPr="00F22CC9" w:rsidRDefault="00C14BFA" w:rsidP="00C14BFA">
      <w:pPr>
        <w:jc w:val="center"/>
        <w:rPr>
          <w:rFonts w:asciiTheme="majorHAnsi" w:hAnsiTheme="majorHAnsi"/>
          <w:b/>
          <w:color w:val="404040" w:themeColor="text1" w:themeTint="BF"/>
          <w:sz w:val="36"/>
          <w:szCs w:val="36"/>
        </w:rPr>
      </w:pPr>
    </w:p>
    <w:p w14:paraId="5208D2D9" w14:textId="77777777" w:rsidR="00C14BFA" w:rsidRPr="00F22CC9" w:rsidRDefault="00C14BFA" w:rsidP="00C14BFA">
      <w:pPr>
        <w:jc w:val="center"/>
        <w:rPr>
          <w:rFonts w:asciiTheme="majorHAnsi" w:hAnsiTheme="majorHAnsi"/>
          <w:b/>
          <w:color w:val="404040" w:themeColor="text1" w:themeTint="BF"/>
          <w:sz w:val="36"/>
          <w:szCs w:val="36"/>
        </w:rPr>
      </w:pPr>
    </w:p>
    <w:p w14:paraId="378D9FE8" w14:textId="77777777" w:rsidR="00C14BFA" w:rsidRPr="00F22CC9" w:rsidRDefault="00C14BFA" w:rsidP="00C14BFA">
      <w:pPr>
        <w:jc w:val="center"/>
        <w:rPr>
          <w:rFonts w:asciiTheme="majorHAnsi" w:hAnsiTheme="majorHAnsi"/>
          <w:b/>
          <w:color w:val="404040" w:themeColor="text1" w:themeTint="BF"/>
          <w:sz w:val="36"/>
          <w:szCs w:val="36"/>
        </w:rPr>
      </w:pPr>
    </w:p>
    <w:p w14:paraId="4F3C4F49" w14:textId="77777777" w:rsidR="00C14BFA" w:rsidRPr="00F22CC9" w:rsidRDefault="00C14BFA" w:rsidP="00C14BFA">
      <w:pPr>
        <w:jc w:val="center"/>
        <w:rPr>
          <w:rFonts w:asciiTheme="majorHAnsi" w:hAnsiTheme="majorHAnsi"/>
          <w:b/>
          <w:color w:val="404040" w:themeColor="text1" w:themeTint="BF"/>
          <w:sz w:val="36"/>
          <w:szCs w:val="36"/>
        </w:rPr>
      </w:pPr>
    </w:p>
    <w:p w14:paraId="57BA92B6" w14:textId="77777777" w:rsidR="00E350DF" w:rsidRPr="00F22CC9" w:rsidRDefault="00E350DF" w:rsidP="00C14BFA">
      <w:pPr>
        <w:jc w:val="center"/>
        <w:rPr>
          <w:rFonts w:asciiTheme="majorHAnsi" w:hAnsiTheme="majorHAnsi"/>
          <w:b/>
          <w:color w:val="404040" w:themeColor="text1" w:themeTint="BF"/>
          <w:sz w:val="36"/>
          <w:szCs w:val="36"/>
        </w:rPr>
      </w:pPr>
    </w:p>
    <w:p w14:paraId="5ECBD532" w14:textId="77777777" w:rsidR="00AC44A1" w:rsidRDefault="00AC44A1" w:rsidP="00C14BFA">
      <w:pPr>
        <w:jc w:val="center"/>
        <w:rPr>
          <w:rFonts w:asciiTheme="majorHAnsi" w:hAnsiTheme="majorHAnsi"/>
          <w:b/>
          <w:color w:val="404040" w:themeColor="text1" w:themeTint="BF"/>
          <w:sz w:val="32"/>
          <w:szCs w:val="32"/>
        </w:rPr>
      </w:pPr>
    </w:p>
    <w:p w14:paraId="2B9B3F3D" w14:textId="4F1AB50B" w:rsidR="00C14BFA" w:rsidRPr="00F22CC9" w:rsidRDefault="00A92B0D" w:rsidP="00C14BFA">
      <w:pPr>
        <w:jc w:val="center"/>
        <w:rPr>
          <w:rFonts w:asciiTheme="majorHAnsi" w:hAnsiTheme="majorHAnsi"/>
          <w:b/>
          <w:color w:val="404040" w:themeColor="text1" w:themeTint="BF"/>
          <w:sz w:val="32"/>
          <w:szCs w:val="32"/>
        </w:rPr>
      </w:pPr>
      <w:r>
        <w:rPr>
          <w:rFonts w:asciiTheme="majorHAnsi" w:hAnsiTheme="majorHAnsi"/>
          <w:b/>
          <w:color w:val="404040" w:themeColor="text1" w:themeTint="BF"/>
          <w:sz w:val="32"/>
          <w:szCs w:val="32"/>
        </w:rPr>
        <w:t>PLAN DE APERTURA, MEJORA Y USO</w:t>
      </w:r>
      <w:r w:rsidR="00C22297">
        <w:rPr>
          <w:rFonts w:asciiTheme="majorHAnsi" w:hAnsiTheme="majorHAnsi"/>
          <w:b/>
          <w:color w:val="404040" w:themeColor="text1" w:themeTint="BF"/>
          <w:sz w:val="32"/>
          <w:szCs w:val="32"/>
        </w:rPr>
        <w:t xml:space="preserve"> D</w:t>
      </w:r>
      <w:r w:rsidR="00EF06C9" w:rsidRPr="00F22CC9">
        <w:rPr>
          <w:rFonts w:asciiTheme="majorHAnsi" w:hAnsiTheme="majorHAnsi"/>
          <w:b/>
          <w:color w:val="404040" w:themeColor="text1" w:themeTint="BF"/>
          <w:sz w:val="32"/>
          <w:szCs w:val="32"/>
        </w:rPr>
        <w:t>E</w:t>
      </w:r>
      <w:r w:rsidR="0014705E" w:rsidRPr="00F22CC9">
        <w:rPr>
          <w:rFonts w:asciiTheme="majorHAnsi" w:hAnsiTheme="majorHAnsi"/>
          <w:b/>
          <w:color w:val="404040" w:themeColor="text1" w:themeTint="BF"/>
          <w:sz w:val="32"/>
          <w:szCs w:val="32"/>
        </w:rPr>
        <w:t xml:space="preserve"> DATOS </w:t>
      </w:r>
      <w:r w:rsidR="00FC2E56" w:rsidRPr="00F22CC9">
        <w:rPr>
          <w:rFonts w:asciiTheme="majorHAnsi" w:hAnsiTheme="majorHAnsi"/>
          <w:b/>
          <w:color w:val="404040" w:themeColor="text1" w:themeTint="BF"/>
          <w:sz w:val="32"/>
          <w:szCs w:val="32"/>
        </w:rPr>
        <w:t xml:space="preserve">ABIERTOS </w:t>
      </w:r>
      <w:r w:rsidR="0027234B">
        <w:rPr>
          <w:rFonts w:asciiTheme="majorHAnsi" w:hAnsiTheme="majorHAnsi"/>
          <w:b/>
          <w:color w:val="404040" w:themeColor="text1" w:themeTint="BF"/>
          <w:sz w:val="32"/>
          <w:szCs w:val="32"/>
        </w:rPr>
        <w:t>DE</w:t>
      </w:r>
      <w:r w:rsidR="00D70B21" w:rsidRPr="00F22CC9">
        <w:rPr>
          <w:rFonts w:asciiTheme="majorHAnsi" w:hAnsiTheme="majorHAnsi"/>
          <w:b/>
          <w:color w:val="404040" w:themeColor="text1" w:themeTint="BF"/>
          <w:sz w:val="32"/>
          <w:szCs w:val="32"/>
        </w:rPr>
        <w:t xml:space="preserve"> LA SECRETARÍA DISTRITAL DEL HÁBITAT</w:t>
      </w:r>
      <w:r w:rsidR="0027234B">
        <w:rPr>
          <w:rFonts w:asciiTheme="majorHAnsi" w:hAnsiTheme="majorHAnsi"/>
          <w:b/>
          <w:color w:val="404040" w:themeColor="text1" w:themeTint="BF"/>
          <w:sz w:val="32"/>
          <w:szCs w:val="32"/>
        </w:rPr>
        <w:t xml:space="preserve"> PARA EL AÑO 202</w:t>
      </w:r>
      <w:r w:rsidR="006116B2">
        <w:rPr>
          <w:rFonts w:asciiTheme="majorHAnsi" w:hAnsiTheme="majorHAnsi"/>
          <w:b/>
          <w:color w:val="404040" w:themeColor="text1" w:themeTint="BF"/>
          <w:sz w:val="32"/>
          <w:szCs w:val="32"/>
        </w:rPr>
        <w:t>3</w:t>
      </w:r>
    </w:p>
    <w:p w14:paraId="7DD5C8F2" w14:textId="77777777" w:rsidR="00C14BFA" w:rsidRPr="00F22CC9" w:rsidRDefault="00C14BFA" w:rsidP="00C14BFA">
      <w:pPr>
        <w:jc w:val="center"/>
        <w:rPr>
          <w:rFonts w:asciiTheme="majorHAnsi" w:hAnsiTheme="majorHAnsi"/>
          <w:b/>
          <w:color w:val="404040" w:themeColor="text1" w:themeTint="BF"/>
          <w:sz w:val="36"/>
          <w:szCs w:val="36"/>
        </w:rPr>
      </w:pPr>
    </w:p>
    <w:p w14:paraId="0D8AD830" w14:textId="77777777" w:rsidR="00C14BFA" w:rsidRPr="00F22CC9" w:rsidRDefault="00C14BFA" w:rsidP="00C14BFA">
      <w:pPr>
        <w:jc w:val="center"/>
        <w:rPr>
          <w:rFonts w:asciiTheme="majorHAnsi" w:hAnsiTheme="majorHAnsi"/>
          <w:b/>
          <w:color w:val="404040" w:themeColor="text1" w:themeTint="BF"/>
          <w:sz w:val="36"/>
          <w:szCs w:val="36"/>
        </w:rPr>
      </w:pPr>
    </w:p>
    <w:p w14:paraId="22946F0C" w14:textId="77777777" w:rsidR="00C14BFA" w:rsidRPr="00F22CC9" w:rsidRDefault="00C14BFA" w:rsidP="00C14BFA">
      <w:pPr>
        <w:jc w:val="center"/>
        <w:rPr>
          <w:rFonts w:asciiTheme="majorHAnsi" w:hAnsiTheme="majorHAnsi"/>
          <w:b/>
          <w:color w:val="404040" w:themeColor="text1" w:themeTint="BF"/>
          <w:sz w:val="36"/>
          <w:szCs w:val="36"/>
        </w:rPr>
      </w:pPr>
    </w:p>
    <w:p w14:paraId="3374EF62" w14:textId="77777777" w:rsidR="00C14BFA" w:rsidRPr="00F22CC9" w:rsidRDefault="00C14BFA" w:rsidP="00C14BFA">
      <w:pPr>
        <w:jc w:val="center"/>
        <w:rPr>
          <w:rFonts w:asciiTheme="majorHAnsi" w:hAnsiTheme="majorHAnsi"/>
          <w:b/>
          <w:color w:val="404040" w:themeColor="text1" w:themeTint="BF"/>
          <w:sz w:val="36"/>
          <w:szCs w:val="36"/>
        </w:rPr>
      </w:pPr>
    </w:p>
    <w:p w14:paraId="28105C25" w14:textId="77777777" w:rsidR="00C14BFA" w:rsidRPr="00F22CC9" w:rsidRDefault="00C14BFA" w:rsidP="00C14BFA">
      <w:pPr>
        <w:jc w:val="center"/>
        <w:rPr>
          <w:rFonts w:asciiTheme="majorHAnsi" w:hAnsiTheme="majorHAnsi"/>
          <w:b/>
          <w:color w:val="404040" w:themeColor="text1" w:themeTint="BF"/>
          <w:sz w:val="36"/>
          <w:szCs w:val="36"/>
        </w:rPr>
      </w:pPr>
    </w:p>
    <w:p w14:paraId="16ABAD3E" w14:textId="2A379A3F" w:rsidR="00C14BFA" w:rsidRPr="00F22CC9" w:rsidRDefault="00C14BFA" w:rsidP="004E22C3">
      <w:pPr>
        <w:spacing w:after="0"/>
        <w:jc w:val="center"/>
        <w:rPr>
          <w:rFonts w:asciiTheme="majorHAnsi" w:hAnsiTheme="majorHAnsi"/>
          <w:b/>
          <w:color w:val="404040" w:themeColor="text1" w:themeTint="BF"/>
          <w:sz w:val="36"/>
          <w:szCs w:val="36"/>
        </w:rPr>
      </w:pPr>
    </w:p>
    <w:p w14:paraId="3F8B65C8" w14:textId="77777777" w:rsidR="004E22C3" w:rsidRDefault="00191A59" w:rsidP="004E22C3">
      <w:pPr>
        <w:spacing w:after="0"/>
        <w:jc w:val="center"/>
        <w:rPr>
          <w:rFonts w:asciiTheme="majorHAnsi" w:hAnsiTheme="majorHAnsi"/>
          <w:b/>
          <w:color w:val="404040" w:themeColor="text1" w:themeTint="BF"/>
          <w:sz w:val="32"/>
          <w:szCs w:val="32"/>
        </w:rPr>
      </w:pPr>
      <w:r w:rsidRPr="00F22CC9">
        <w:rPr>
          <w:rFonts w:asciiTheme="majorHAnsi" w:hAnsiTheme="majorHAnsi"/>
          <w:b/>
          <w:color w:val="404040" w:themeColor="text1" w:themeTint="BF"/>
          <w:sz w:val="32"/>
          <w:szCs w:val="32"/>
        </w:rPr>
        <w:t>Subdirección de Información Sectorial</w:t>
      </w:r>
    </w:p>
    <w:p w14:paraId="2EFDE07A" w14:textId="3211FCD8" w:rsidR="00C14BFA" w:rsidRDefault="006116B2" w:rsidP="004E22C3">
      <w:pPr>
        <w:spacing w:after="0"/>
        <w:jc w:val="center"/>
        <w:rPr>
          <w:rFonts w:asciiTheme="majorHAnsi" w:hAnsiTheme="majorHAnsi"/>
          <w:b/>
          <w:color w:val="404040" w:themeColor="text1" w:themeTint="BF"/>
          <w:sz w:val="32"/>
          <w:szCs w:val="32"/>
        </w:rPr>
      </w:pPr>
      <w:r>
        <w:rPr>
          <w:rFonts w:asciiTheme="majorHAnsi" w:hAnsiTheme="majorHAnsi"/>
          <w:b/>
          <w:color w:val="404040" w:themeColor="text1" w:themeTint="BF"/>
          <w:sz w:val="32"/>
          <w:szCs w:val="32"/>
        </w:rPr>
        <w:t>Enero 2023</w:t>
      </w:r>
    </w:p>
    <w:p w14:paraId="771DC49B" w14:textId="4C0C5BDA" w:rsidR="00AE1578" w:rsidRDefault="00AE1578">
      <w:pPr>
        <w:rPr>
          <w:rFonts w:asciiTheme="majorHAnsi" w:hAnsiTheme="majorHAnsi"/>
          <w:b/>
          <w:color w:val="404040" w:themeColor="text1" w:themeTint="BF"/>
          <w:sz w:val="32"/>
          <w:szCs w:val="32"/>
        </w:rPr>
      </w:pPr>
      <w:r>
        <w:rPr>
          <w:rFonts w:asciiTheme="majorHAnsi" w:hAnsiTheme="majorHAnsi"/>
          <w:b/>
          <w:color w:val="404040" w:themeColor="text1" w:themeTint="BF"/>
          <w:sz w:val="32"/>
          <w:szCs w:val="32"/>
        </w:rPr>
        <w:br w:type="page"/>
      </w:r>
    </w:p>
    <w:sdt>
      <w:sdtPr>
        <w:id w:val="1944799195"/>
        <w:docPartObj>
          <w:docPartGallery w:val="Table of Contents"/>
          <w:docPartUnique/>
        </w:docPartObj>
      </w:sdtPr>
      <w:sdtEndPr>
        <w:rPr>
          <w:rFonts w:asciiTheme="minorHAnsi" w:eastAsiaTheme="minorHAnsi" w:hAnsiTheme="minorHAnsi" w:cstheme="minorBidi"/>
          <w:b/>
          <w:bCs/>
          <w:noProof/>
          <w:color w:val="auto"/>
          <w:sz w:val="22"/>
          <w:szCs w:val="22"/>
          <w:lang w:val="es-CO"/>
        </w:rPr>
      </w:sdtEndPr>
      <w:sdtContent>
        <w:p w14:paraId="7BBFD518" w14:textId="7196098B" w:rsidR="00842F9E" w:rsidRPr="00C42406" w:rsidRDefault="005E62AA">
          <w:pPr>
            <w:pStyle w:val="TOCHeading"/>
            <w:rPr>
              <w:b/>
              <w:color w:val="4A442A" w:themeColor="background2" w:themeShade="40"/>
              <w:lang w:val="es-CO"/>
            </w:rPr>
          </w:pPr>
          <w:r w:rsidRPr="00C42406">
            <w:rPr>
              <w:b/>
              <w:color w:val="4A442A" w:themeColor="background2" w:themeShade="40"/>
              <w:lang w:val="es-CO"/>
            </w:rPr>
            <w:t>Tabla de contenido</w:t>
          </w:r>
        </w:p>
        <w:p w14:paraId="23F90D43" w14:textId="77777777" w:rsidR="005E62AA" w:rsidRPr="005E62AA" w:rsidRDefault="005E62AA" w:rsidP="005E62AA">
          <w:pPr>
            <w:rPr>
              <w:lang w:val="en-US"/>
            </w:rPr>
          </w:pPr>
        </w:p>
        <w:p w14:paraId="1550D596" w14:textId="3B47CFF0" w:rsidR="00311FAF" w:rsidRDefault="00842F9E">
          <w:pPr>
            <w:pStyle w:val="TOC1"/>
            <w:tabs>
              <w:tab w:val="right" w:leader="dot" w:pos="8828"/>
            </w:tabs>
            <w:rPr>
              <w:rFonts w:asciiTheme="minorHAnsi" w:eastAsiaTheme="minorEastAsia" w:hAnsiTheme="minorHAnsi" w:cstheme="minorBidi"/>
              <w:noProof/>
              <w:lang w:val="en-US" w:eastAsia="en-US"/>
            </w:rPr>
          </w:pPr>
          <w:r w:rsidRPr="00842F9E">
            <w:fldChar w:fldCharType="begin"/>
          </w:r>
          <w:r w:rsidRPr="00842F9E">
            <w:instrText xml:space="preserve"> TOC \o "1-3" \h \z \u </w:instrText>
          </w:r>
          <w:r w:rsidRPr="00842F9E">
            <w:fldChar w:fldCharType="separate"/>
          </w:r>
          <w:hyperlink w:anchor="_Toc124321773" w:history="1">
            <w:r w:rsidR="00311FAF" w:rsidRPr="00D77439">
              <w:rPr>
                <w:rStyle w:val="Hyperlink"/>
                <w:b/>
                <w:noProof/>
              </w:rPr>
              <w:t>Introducción</w:t>
            </w:r>
            <w:r w:rsidR="00311FAF">
              <w:rPr>
                <w:noProof/>
                <w:webHidden/>
              </w:rPr>
              <w:tab/>
            </w:r>
            <w:r w:rsidR="00311FAF">
              <w:rPr>
                <w:noProof/>
                <w:webHidden/>
              </w:rPr>
              <w:fldChar w:fldCharType="begin"/>
            </w:r>
            <w:r w:rsidR="00311FAF">
              <w:rPr>
                <w:noProof/>
                <w:webHidden/>
              </w:rPr>
              <w:instrText xml:space="preserve"> PAGEREF _Toc124321773 \h </w:instrText>
            </w:r>
            <w:r w:rsidR="00311FAF">
              <w:rPr>
                <w:noProof/>
                <w:webHidden/>
              </w:rPr>
            </w:r>
            <w:r w:rsidR="00311FAF">
              <w:rPr>
                <w:noProof/>
                <w:webHidden/>
              </w:rPr>
              <w:fldChar w:fldCharType="separate"/>
            </w:r>
            <w:r w:rsidR="00311FAF">
              <w:rPr>
                <w:noProof/>
                <w:webHidden/>
              </w:rPr>
              <w:t>3</w:t>
            </w:r>
            <w:r w:rsidR="00311FAF">
              <w:rPr>
                <w:noProof/>
                <w:webHidden/>
              </w:rPr>
              <w:fldChar w:fldCharType="end"/>
            </w:r>
          </w:hyperlink>
        </w:p>
        <w:p w14:paraId="591E8A9F" w14:textId="55A96614" w:rsidR="00311FAF" w:rsidRDefault="00311FAF">
          <w:pPr>
            <w:pStyle w:val="TOC1"/>
            <w:tabs>
              <w:tab w:val="left" w:pos="440"/>
              <w:tab w:val="right" w:leader="dot" w:pos="8828"/>
            </w:tabs>
            <w:rPr>
              <w:rFonts w:asciiTheme="minorHAnsi" w:eastAsiaTheme="minorEastAsia" w:hAnsiTheme="minorHAnsi" w:cstheme="minorBidi"/>
              <w:noProof/>
              <w:lang w:val="en-US" w:eastAsia="en-US"/>
            </w:rPr>
          </w:pPr>
          <w:hyperlink w:anchor="_Toc124321774" w:history="1">
            <w:r w:rsidRPr="00D77439">
              <w:rPr>
                <w:rStyle w:val="Hyperlink"/>
                <w:rFonts w:asciiTheme="majorHAnsi" w:hAnsiTheme="majorHAnsi"/>
                <w:b/>
                <w:noProof/>
              </w:rPr>
              <w:t>1.</w:t>
            </w:r>
            <w:r>
              <w:rPr>
                <w:rFonts w:asciiTheme="minorHAnsi" w:eastAsiaTheme="minorEastAsia" w:hAnsiTheme="minorHAnsi" w:cstheme="minorBidi"/>
                <w:noProof/>
                <w:lang w:val="en-US" w:eastAsia="en-US"/>
              </w:rPr>
              <w:tab/>
            </w:r>
            <w:r w:rsidRPr="00D77439">
              <w:rPr>
                <w:rStyle w:val="Hyperlink"/>
                <w:rFonts w:asciiTheme="majorHAnsi" w:hAnsiTheme="majorHAnsi"/>
                <w:b/>
                <w:noProof/>
              </w:rPr>
              <w:t>Objetivo General</w:t>
            </w:r>
            <w:r>
              <w:rPr>
                <w:noProof/>
                <w:webHidden/>
              </w:rPr>
              <w:tab/>
            </w:r>
            <w:r>
              <w:rPr>
                <w:noProof/>
                <w:webHidden/>
              </w:rPr>
              <w:fldChar w:fldCharType="begin"/>
            </w:r>
            <w:r>
              <w:rPr>
                <w:noProof/>
                <w:webHidden/>
              </w:rPr>
              <w:instrText xml:space="preserve"> PAGEREF _Toc124321774 \h </w:instrText>
            </w:r>
            <w:r>
              <w:rPr>
                <w:noProof/>
                <w:webHidden/>
              </w:rPr>
            </w:r>
            <w:r>
              <w:rPr>
                <w:noProof/>
                <w:webHidden/>
              </w:rPr>
              <w:fldChar w:fldCharType="separate"/>
            </w:r>
            <w:r>
              <w:rPr>
                <w:noProof/>
                <w:webHidden/>
              </w:rPr>
              <w:t>5</w:t>
            </w:r>
            <w:r>
              <w:rPr>
                <w:noProof/>
                <w:webHidden/>
              </w:rPr>
              <w:fldChar w:fldCharType="end"/>
            </w:r>
          </w:hyperlink>
        </w:p>
        <w:p w14:paraId="03B8D945" w14:textId="7FBCC2A0" w:rsidR="00311FAF" w:rsidRDefault="00311FAF">
          <w:pPr>
            <w:pStyle w:val="TOC1"/>
            <w:tabs>
              <w:tab w:val="left" w:pos="440"/>
              <w:tab w:val="right" w:leader="dot" w:pos="8828"/>
            </w:tabs>
            <w:rPr>
              <w:rFonts w:asciiTheme="minorHAnsi" w:eastAsiaTheme="minorEastAsia" w:hAnsiTheme="minorHAnsi" w:cstheme="minorBidi"/>
              <w:noProof/>
              <w:lang w:val="en-US" w:eastAsia="en-US"/>
            </w:rPr>
          </w:pPr>
          <w:hyperlink w:anchor="_Toc124321775" w:history="1">
            <w:r w:rsidRPr="00D77439">
              <w:rPr>
                <w:rStyle w:val="Hyperlink"/>
                <w:rFonts w:asciiTheme="majorHAnsi" w:hAnsiTheme="majorHAnsi"/>
                <w:b/>
                <w:noProof/>
              </w:rPr>
              <w:t>2.</w:t>
            </w:r>
            <w:r>
              <w:rPr>
                <w:rFonts w:asciiTheme="minorHAnsi" w:eastAsiaTheme="minorEastAsia" w:hAnsiTheme="minorHAnsi" w:cstheme="minorBidi"/>
                <w:noProof/>
                <w:lang w:val="en-US" w:eastAsia="en-US"/>
              </w:rPr>
              <w:tab/>
            </w:r>
            <w:r w:rsidRPr="00D77439">
              <w:rPr>
                <w:rStyle w:val="Hyperlink"/>
                <w:rFonts w:asciiTheme="majorHAnsi" w:hAnsiTheme="majorHAnsi"/>
                <w:b/>
                <w:noProof/>
              </w:rPr>
              <w:t>Objetivos específicos</w:t>
            </w:r>
            <w:r>
              <w:rPr>
                <w:noProof/>
                <w:webHidden/>
              </w:rPr>
              <w:tab/>
            </w:r>
            <w:r>
              <w:rPr>
                <w:noProof/>
                <w:webHidden/>
              </w:rPr>
              <w:fldChar w:fldCharType="begin"/>
            </w:r>
            <w:r>
              <w:rPr>
                <w:noProof/>
                <w:webHidden/>
              </w:rPr>
              <w:instrText xml:space="preserve"> PAGEREF _Toc124321775 \h </w:instrText>
            </w:r>
            <w:r>
              <w:rPr>
                <w:noProof/>
                <w:webHidden/>
              </w:rPr>
            </w:r>
            <w:r>
              <w:rPr>
                <w:noProof/>
                <w:webHidden/>
              </w:rPr>
              <w:fldChar w:fldCharType="separate"/>
            </w:r>
            <w:r>
              <w:rPr>
                <w:noProof/>
                <w:webHidden/>
              </w:rPr>
              <w:t>5</w:t>
            </w:r>
            <w:r>
              <w:rPr>
                <w:noProof/>
                <w:webHidden/>
              </w:rPr>
              <w:fldChar w:fldCharType="end"/>
            </w:r>
          </w:hyperlink>
        </w:p>
        <w:p w14:paraId="6573E7EF" w14:textId="74833663" w:rsidR="00311FAF" w:rsidRDefault="00311FAF">
          <w:pPr>
            <w:pStyle w:val="TOC1"/>
            <w:tabs>
              <w:tab w:val="left" w:pos="440"/>
              <w:tab w:val="right" w:leader="dot" w:pos="8828"/>
            </w:tabs>
            <w:rPr>
              <w:rFonts w:asciiTheme="minorHAnsi" w:eastAsiaTheme="minorEastAsia" w:hAnsiTheme="minorHAnsi" w:cstheme="minorBidi"/>
              <w:noProof/>
              <w:lang w:val="en-US" w:eastAsia="en-US"/>
            </w:rPr>
          </w:pPr>
          <w:hyperlink w:anchor="_Toc124321776" w:history="1">
            <w:r w:rsidRPr="00D77439">
              <w:rPr>
                <w:rStyle w:val="Hyperlink"/>
                <w:rFonts w:asciiTheme="majorHAnsi" w:hAnsiTheme="majorHAnsi"/>
                <w:b/>
                <w:noProof/>
              </w:rPr>
              <w:t>3.</w:t>
            </w:r>
            <w:r>
              <w:rPr>
                <w:rFonts w:asciiTheme="minorHAnsi" w:eastAsiaTheme="minorEastAsia" w:hAnsiTheme="minorHAnsi" w:cstheme="minorBidi"/>
                <w:noProof/>
                <w:lang w:val="en-US" w:eastAsia="en-US"/>
              </w:rPr>
              <w:tab/>
            </w:r>
            <w:r w:rsidRPr="00D77439">
              <w:rPr>
                <w:rStyle w:val="Hyperlink"/>
                <w:rFonts w:asciiTheme="majorHAnsi" w:hAnsiTheme="majorHAnsi"/>
                <w:b/>
                <w:noProof/>
              </w:rPr>
              <w:t>Marco normativo</w:t>
            </w:r>
            <w:r>
              <w:rPr>
                <w:noProof/>
                <w:webHidden/>
              </w:rPr>
              <w:tab/>
            </w:r>
            <w:r>
              <w:rPr>
                <w:noProof/>
                <w:webHidden/>
              </w:rPr>
              <w:fldChar w:fldCharType="begin"/>
            </w:r>
            <w:r>
              <w:rPr>
                <w:noProof/>
                <w:webHidden/>
              </w:rPr>
              <w:instrText xml:space="preserve"> PAGEREF _Toc124321776 \h </w:instrText>
            </w:r>
            <w:r>
              <w:rPr>
                <w:noProof/>
                <w:webHidden/>
              </w:rPr>
            </w:r>
            <w:r>
              <w:rPr>
                <w:noProof/>
                <w:webHidden/>
              </w:rPr>
              <w:fldChar w:fldCharType="separate"/>
            </w:r>
            <w:r>
              <w:rPr>
                <w:noProof/>
                <w:webHidden/>
              </w:rPr>
              <w:t>5</w:t>
            </w:r>
            <w:r>
              <w:rPr>
                <w:noProof/>
                <w:webHidden/>
              </w:rPr>
              <w:fldChar w:fldCharType="end"/>
            </w:r>
          </w:hyperlink>
        </w:p>
        <w:p w14:paraId="2A959AAF" w14:textId="4593EAE6" w:rsidR="00311FAF" w:rsidRDefault="00311FAF">
          <w:pPr>
            <w:pStyle w:val="TOC1"/>
            <w:tabs>
              <w:tab w:val="left" w:pos="440"/>
              <w:tab w:val="right" w:leader="dot" w:pos="8828"/>
            </w:tabs>
            <w:rPr>
              <w:rFonts w:asciiTheme="minorHAnsi" w:eastAsiaTheme="minorEastAsia" w:hAnsiTheme="minorHAnsi" w:cstheme="minorBidi"/>
              <w:noProof/>
              <w:lang w:val="en-US" w:eastAsia="en-US"/>
            </w:rPr>
          </w:pPr>
          <w:hyperlink w:anchor="_Toc124321777" w:history="1">
            <w:r w:rsidRPr="00D77439">
              <w:rPr>
                <w:rStyle w:val="Hyperlink"/>
                <w:rFonts w:asciiTheme="majorHAnsi" w:hAnsiTheme="majorHAnsi"/>
                <w:b/>
                <w:noProof/>
              </w:rPr>
              <w:t>4.</w:t>
            </w:r>
            <w:r>
              <w:rPr>
                <w:rFonts w:asciiTheme="minorHAnsi" w:eastAsiaTheme="minorEastAsia" w:hAnsiTheme="minorHAnsi" w:cstheme="minorBidi"/>
                <w:noProof/>
                <w:lang w:val="en-US" w:eastAsia="en-US"/>
              </w:rPr>
              <w:tab/>
            </w:r>
            <w:r w:rsidRPr="00D77439">
              <w:rPr>
                <w:rStyle w:val="Hyperlink"/>
                <w:rFonts w:asciiTheme="majorHAnsi" w:hAnsiTheme="majorHAnsi"/>
                <w:b/>
                <w:noProof/>
              </w:rPr>
              <w:t>Estrategia de datos abiertos de la SDHT</w:t>
            </w:r>
            <w:r>
              <w:rPr>
                <w:noProof/>
                <w:webHidden/>
              </w:rPr>
              <w:tab/>
            </w:r>
            <w:r>
              <w:rPr>
                <w:noProof/>
                <w:webHidden/>
              </w:rPr>
              <w:fldChar w:fldCharType="begin"/>
            </w:r>
            <w:r>
              <w:rPr>
                <w:noProof/>
                <w:webHidden/>
              </w:rPr>
              <w:instrText xml:space="preserve"> PAGEREF _Toc124321777 \h </w:instrText>
            </w:r>
            <w:r>
              <w:rPr>
                <w:noProof/>
                <w:webHidden/>
              </w:rPr>
            </w:r>
            <w:r>
              <w:rPr>
                <w:noProof/>
                <w:webHidden/>
              </w:rPr>
              <w:fldChar w:fldCharType="separate"/>
            </w:r>
            <w:r>
              <w:rPr>
                <w:noProof/>
                <w:webHidden/>
              </w:rPr>
              <w:t>6</w:t>
            </w:r>
            <w:r>
              <w:rPr>
                <w:noProof/>
                <w:webHidden/>
              </w:rPr>
              <w:fldChar w:fldCharType="end"/>
            </w:r>
          </w:hyperlink>
        </w:p>
        <w:p w14:paraId="485C03C4" w14:textId="3C568A2E" w:rsidR="00311FAF" w:rsidRDefault="00311FAF">
          <w:pPr>
            <w:pStyle w:val="TOC2"/>
            <w:tabs>
              <w:tab w:val="left" w:pos="660"/>
              <w:tab w:val="right" w:leader="dot" w:pos="8828"/>
            </w:tabs>
            <w:rPr>
              <w:rFonts w:cstheme="minorBidi"/>
              <w:noProof/>
            </w:rPr>
          </w:pPr>
          <w:hyperlink w:anchor="_Toc124321778" w:history="1">
            <w:r w:rsidRPr="00D77439">
              <w:rPr>
                <w:rStyle w:val="Hyperlink"/>
                <w:rFonts w:asciiTheme="majorHAnsi" w:hAnsiTheme="majorHAnsi"/>
                <w:b/>
                <w:noProof/>
              </w:rPr>
              <w:t>a.</w:t>
            </w:r>
            <w:r>
              <w:rPr>
                <w:rFonts w:cstheme="minorBidi"/>
                <w:noProof/>
              </w:rPr>
              <w:tab/>
            </w:r>
            <w:r w:rsidRPr="00D77439">
              <w:rPr>
                <w:rStyle w:val="Hyperlink"/>
                <w:rFonts w:asciiTheme="majorHAnsi" w:hAnsiTheme="majorHAnsi"/>
                <w:b/>
                <w:noProof/>
              </w:rPr>
              <w:t>Cronograma de identificación y publicación de datos abiertos año 2023</w:t>
            </w:r>
            <w:r>
              <w:rPr>
                <w:noProof/>
                <w:webHidden/>
              </w:rPr>
              <w:tab/>
            </w:r>
            <w:r>
              <w:rPr>
                <w:noProof/>
                <w:webHidden/>
              </w:rPr>
              <w:fldChar w:fldCharType="begin"/>
            </w:r>
            <w:r>
              <w:rPr>
                <w:noProof/>
                <w:webHidden/>
              </w:rPr>
              <w:instrText xml:space="preserve"> PAGEREF _Toc124321778 \h </w:instrText>
            </w:r>
            <w:r>
              <w:rPr>
                <w:noProof/>
                <w:webHidden/>
              </w:rPr>
            </w:r>
            <w:r>
              <w:rPr>
                <w:noProof/>
                <w:webHidden/>
              </w:rPr>
              <w:fldChar w:fldCharType="separate"/>
            </w:r>
            <w:r>
              <w:rPr>
                <w:noProof/>
                <w:webHidden/>
              </w:rPr>
              <w:t>7</w:t>
            </w:r>
            <w:r>
              <w:rPr>
                <w:noProof/>
                <w:webHidden/>
              </w:rPr>
              <w:fldChar w:fldCharType="end"/>
            </w:r>
          </w:hyperlink>
        </w:p>
        <w:p w14:paraId="0D094807" w14:textId="6C90336C" w:rsidR="00311FAF" w:rsidRDefault="00311FAF">
          <w:pPr>
            <w:pStyle w:val="TOC2"/>
            <w:tabs>
              <w:tab w:val="left" w:pos="660"/>
              <w:tab w:val="right" w:leader="dot" w:pos="8828"/>
            </w:tabs>
            <w:rPr>
              <w:rFonts w:cstheme="minorBidi"/>
              <w:noProof/>
            </w:rPr>
          </w:pPr>
          <w:hyperlink w:anchor="_Toc124321779" w:history="1">
            <w:r w:rsidRPr="00D77439">
              <w:rPr>
                <w:rStyle w:val="Hyperlink"/>
                <w:rFonts w:asciiTheme="majorHAnsi" w:hAnsiTheme="majorHAnsi"/>
                <w:b/>
                <w:noProof/>
              </w:rPr>
              <w:t>b.</w:t>
            </w:r>
            <w:r>
              <w:rPr>
                <w:rFonts w:cstheme="minorBidi"/>
                <w:noProof/>
              </w:rPr>
              <w:tab/>
            </w:r>
            <w:r w:rsidRPr="00D77439">
              <w:rPr>
                <w:rStyle w:val="Hyperlink"/>
                <w:rFonts w:asciiTheme="majorHAnsi" w:hAnsiTheme="majorHAnsi"/>
                <w:b/>
                <w:noProof/>
              </w:rPr>
              <w:t>Publicación de los conjuntos de datos abiertos identificados en el portal de la ciudad</w:t>
            </w:r>
            <w:r>
              <w:rPr>
                <w:noProof/>
                <w:webHidden/>
              </w:rPr>
              <w:tab/>
            </w:r>
            <w:r>
              <w:rPr>
                <w:noProof/>
                <w:webHidden/>
              </w:rPr>
              <w:fldChar w:fldCharType="begin"/>
            </w:r>
            <w:r>
              <w:rPr>
                <w:noProof/>
                <w:webHidden/>
              </w:rPr>
              <w:instrText xml:space="preserve"> PAGEREF _Toc124321779 \h </w:instrText>
            </w:r>
            <w:r>
              <w:rPr>
                <w:noProof/>
                <w:webHidden/>
              </w:rPr>
            </w:r>
            <w:r>
              <w:rPr>
                <w:noProof/>
                <w:webHidden/>
              </w:rPr>
              <w:fldChar w:fldCharType="separate"/>
            </w:r>
            <w:r>
              <w:rPr>
                <w:noProof/>
                <w:webHidden/>
              </w:rPr>
              <w:t>7</w:t>
            </w:r>
            <w:r>
              <w:rPr>
                <w:noProof/>
                <w:webHidden/>
              </w:rPr>
              <w:fldChar w:fldCharType="end"/>
            </w:r>
          </w:hyperlink>
        </w:p>
        <w:p w14:paraId="381CF582" w14:textId="4B9F57CA" w:rsidR="00311FAF" w:rsidRDefault="00311FAF">
          <w:pPr>
            <w:pStyle w:val="TOC2"/>
            <w:tabs>
              <w:tab w:val="left" w:pos="660"/>
              <w:tab w:val="right" w:leader="dot" w:pos="8828"/>
            </w:tabs>
            <w:rPr>
              <w:rFonts w:cstheme="minorBidi"/>
              <w:noProof/>
            </w:rPr>
          </w:pPr>
          <w:hyperlink w:anchor="_Toc124321780" w:history="1">
            <w:r w:rsidRPr="00D77439">
              <w:rPr>
                <w:rStyle w:val="Hyperlink"/>
                <w:rFonts w:asciiTheme="majorHAnsi" w:hAnsiTheme="majorHAnsi"/>
                <w:b/>
                <w:noProof/>
              </w:rPr>
              <w:t>c.</w:t>
            </w:r>
            <w:r>
              <w:rPr>
                <w:rFonts w:cstheme="minorBidi"/>
                <w:noProof/>
              </w:rPr>
              <w:tab/>
            </w:r>
            <w:r w:rsidRPr="00D77439">
              <w:rPr>
                <w:rStyle w:val="Hyperlink"/>
                <w:rFonts w:asciiTheme="majorHAnsi" w:hAnsiTheme="majorHAnsi"/>
                <w:b/>
                <w:noProof/>
              </w:rPr>
              <w:t>Gestión del curso virtual de datos abiertos para los funcionarios y contratistas tanto de la entidad desde la Escuela del Hábitat</w:t>
            </w:r>
            <w:r>
              <w:rPr>
                <w:noProof/>
                <w:webHidden/>
              </w:rPr>
              <w:tab/>
            </w:r>
            <w:r>
              <w:rPr>
                <w:noProof/>
                <w:webHidden/>
              </w:rPr>
              <w:fldChar w:fldCharType="begin"/>
            </w:r>
            <w:r>
              <w:rPr>
                <w:noProof/>
                <w:webHidden/>
              </w:rPr>
              <w:instrText xml:space="preserve"> PAGEREF _Toc124321780 \h </w:instrText>
            </w:r>
            <w:r>
              <w:rPr>
                <w:noProof/>
                <w:webHidden/>
              </w:rPr>
            </w:r>
            <w:r>
              <w:rPr>
                <w:noProof/>
                <w:webHidden/>
              </w:rPr>
              <w:fldChar w:fldCharType="separate"/>
            </w:r>
            <w:r>
              <w:rPr>
                <w:noProof/>
                <w:webHidden/>
              </w:rPr>
              <w:t>7</w:t>
            </w:r>
            <w:r>
              <w:rPr>
                <w:noProof/>
                <w:webHidden/>
              </w:rPr>
              <w:fldChar w:fldCharType="end"/>
            </w:r>
          </w:hyperlink>
        </w:p>
        <w:p w14:paraId="4A034236" w14:textId="4D919D4C" w:rsidR="00311FAF" w:rsidRDefault="00311FAF">
          <w:pPr>
            <w:pStyle w:val="TOC2"/>
            <w:tabs>
              <w:tab w:val="left" w:pos="660"/>
              <w:tab w:val="right" w:leader="dot" w:pos="8828"/>
            </w:tabs>
            <w:rPr>
              <w:rFonts w:cstheme="minorBidi"/>
              <w:noProof/>
            </w:rPr>
          </w:pPr>
          <w:hyperlink w:anchor="_Toc124321781" w:history="1">
            <w:r w:rsidRPr="00D77439">
              <w:rPr>
                <w:rStyle w:val="Hyperlink"/>
                <w:rFonts w:asciiTheme="majorHAnsi" w:hAnsiTheme="majorHAnsi"/>
                <w:b/>
                <w:noProof/>
              </w:rPr>
              <w:t>d.</w:t>
            </w:r>
            <w:r>
              <w:rPr>
                <w:rFonts w:cstheme="minorBidi"/>
                <w:noProof/>
              </w:rPr>
              <w:tab/>
            </w:r>
            <w:r w:rsidRPr="00D77439">
              <w:rPr>
                <w:rStyle w:val="Hyperlink"/>
                <w:rFonts w:asciiTheme="majorHAnsi" w:hAnsiTheme="majorHAnsi"/>
                <w:b/>
                <w:noProof/>
              </w:rPr>
              <w:t>Participación en los ejercicios de datos abiertos realizados dentro de la estrategia de Gobierno Abierto de la ciudad.</w:t>
            </w:r>
            <w:r>
              <w:rPr>
                <w:noProof/>
                <w:webHidden/>
              </w:rPr>
              <w:tab/>
            </w:r>
            <w:r>
              <w:rPr>
                <w:noProof/>
                <w:webHidden/>
              </w:rPr>
              <w:fldChar w:fldCharType="begin"/>
            </w:r>
            <w:r>
              <w:rPr>
                <w:noProof/>
                <w:webHidden/>
              </w:rPr>
              <w:instrText xml:space="preserve"> PAGEREF _Toc124321781 \h </w:instrText>
            </w:r>
            <w:r>
              <w:rPr>
                <w:noProof/>
                <w:webHidden/>
              </w:rPr>
            </w:r>
            <w:r>
              <w:rPr>
                <w:noProof/>
                <w:webHidden/>
              </w:rPr>
              <w:fldChar w:fldCharType="separate"/>
            </w:r>
            <w:r>
              <w:rPr>
                <w:noProof/>
                <w:webHidden/>
              </w:rPr>
              <w:t>8</w:t>
            </w:r>
            <w:r>
              <w:rPr>
                <w:noProof/>
                <w:webHidden/>
              </w:rPr>
              <w:fldChar w:fldCharType="end"/>
            </w:r>
          </w:hyperlink>
        </w:p>
        <w:p w14:paraId="7A0FDE1E" w14:textId="2CD5467C" w:rsidR="00311FAF" w:rsidRDefault="00311FAF">
          <w:pPr>
            <w:pStyle w:val="TOC2"/>
            <w:tabs>
              <w:tab w:val="left" w:pos="660"/>
              <w:tab w:val="right" w:leader="dot" w:pos="8828"/>
            </w:tabs>
            <w:rPr>
              <w:rFonts w:cstheme="minorBidi"/>
              <w:noProof/>
            </w:rPr>
          </w:pPr>
          <w:hyperlink w:anchor="_Toc124321782" w:history="1">
            <w:r w:rsidRPr="00D77439">
              <w:rPr>
                <w:rStyle w:val="Hyperlink"/>
                <w:rFonts w:asciiTheme="majorHAnsi" w:hAnsiTheme="majorHAnsi"/>
                <w:b/>
                <w:noProof/>
              </w:rPr>
              <w:t>e.</w:t>
            </w:r>
            <w:r>
              <w:rPr>
                <w:rFonts w:cstheme="minorBidi"/>
                <w:noProof/>
              </w:rPr>
              <w:tab/>
            </w:r>
            <w:r w:rsidRPr="00D77439">
              <w:rPr>
                <w:rStyle w:val="Hyperlink"/>
                <w:rFonts w:asciiTheme="majorHAnsi" w:hAnsiTheme="majorHAnsi"/>
                <w:b/>
                <w:noProof/>
              </w:rPr>
              <w:t>Realización de un ejercicio de uso de los datos abiertos de la entidad.</w:t>
            </w:r>
            <w:r>
              <w:rPr>
                <w:noProof/>
                <w:webHidden/>
              </w:rPr>
              <w:tab/>
            </w:r>
            <w:r>
              <w:rPr>
                <w:noProof/>
                <w:webHidden/>
              </w:rPr>
              <w:fldChar w:fldCharType="begin"/>
            </w:r>
            <w:r>
              <w:rPr>
                <w:noProof/>
                <w:webHidden/>
              </w:rPr>
              <w:instrText xml:space="preserve"> PAGEREF _Toc124321782 \h </w:instrText>
            </w:r>
            <w:r>
              <w:rPr>
                <w:noProof/>
                <w:webHidden/>
              </w:rPr>
            </w:r>
            <w:r>
              <w:rPr>
                <w:noProof/>
                <w:webHidden/>
              </w:rPr>
              <w:fldChar w:fldCharType="separate"/>
            </w:r>
            <w:r>
              <w:rPr>
                <w:noProof/>
                <w:webHidden/>
              </w:rPr>
              <w:t>8</w:t>
            </w:r>
            <w:r>
              <w:rPr>
                <w:noProof/>
                <w:webHidden/>
              </w:rPr>
              <w:fldChar w:fldCharType="end"/>
            </w:r>
          </w:hyperlink>
        </w:p>
        <w:p w14:paraId="4DC91032" w14:textId="5FA5389A" w:rsidR="00311FAF" w:rsidRDefault="00311FAF">
          <w:pPr>
            <w:pStyle w:val="TOC2"/>
            <w:tabs>
              <w:tab w:val="left" w:pos="660"/>
              <w:tab w:val="right" w:leader="dot" w:pos="8828"/>
            </w:tabs>
            <w:rPr>
              <w:rFonts w:cstheme="minorBidi"/>
              <w:noProof/>
            </w:rPr>
          </w:pPr>
          <w:hyperlink w:anchor="_Toc124321783" w:history="1">
            <w:r w:rsidRPr="00D77439">
              <w:rPr>
                <w:rStyle w:val="Hyperlink"/>
                <w:rFonts w:asciiTheme="majorHAnsi" w:hAnsiTheme="majorHAnsi"/>
                <w:b/>
                <w:noProof/>
              </w:rPr>
              <w:t>f.</w:t>
            </w:r>
            <w:r>
              <w:rPr>
                <w:rFonts w:cstheme="minorBidi"/>
                <w:noProof/>
              </w:rPr>
              <w:tab/>
            </w:r>
            <w:r w:rsidRPr="00D77439">
              <w:rPr>
                <w:rStyle w:val="Hyperlink"/>
                <w:rFonts w:asciiTheme="majorHAnsi" w:hAnsiTheme="majorHAnsi"/>
                <w:b/>
                <w:noProof/>
              </w:rPr>
              <w:t>Inclusión de la promoción sobre el uso de los datos abiertos institucionales dentro del plan de comunicaciones de la SDHT.</w:t>
            </w:r>
            <w:r>
              <w:rPr>
                <w:noProof/>
                <w:webHidden/>
              </w:rPr>
              <w:tab/>
            </w:r>
            <w:r>
              <w:rPr>
                <w:noProof/>
                <w:webHidden/>
              </w:rPr>
              <w:fldChar w:fldCharType="begin"/>
            </w:r>
            <w:r>
              <w:rPr>
                <w:noProof/>
                <w:webHidden/>
              </w:rPr>
              <w:instrText xml:space="preserve"> PAGEREF _Toc124321783 \h </w:instrText>
            </w:r>
            <w:r>
              <w:rPr>
                <w:noProof/>
                <w:webHidden/>
              </w:rPr>
            </w:r>
            <w:r>
              <w:rPr>
                <w:noProof/>
                <w:webHidden/>
              </w:rPr>
              <w:fldChar w:fldCharType="separate"/>
            </w:r>
            <w:r>
              <w:rPr>
                <w:noProof/>
                <w:webHidden/>
              </w:rPr>
              <w:t>8</w:t>
            </w:r>
            <w:r>
              <w:rPr>
                <w:noProof/>
                <w:webHidden/>
              </w:rPr>
              <w:fldChar w:fldCharType="end"/>
            </w:r>
          </w:hyperlink>
        </w:p>
        <w:p w14:paraId="357F2C33" w14:textId="59DA9C04" w:rsidR="00311FAF" w:rsidRDefault="00311FAF">
          <w:pPr>
            <w:pStyle w:val="TOC1"/>
            <w:tabs>
              <w:tab w:val="left" w:pos="440"/>
              <w:tab w:val="right" w:leader="dot" w:pos="8828"/>
            </w:tabs>
            <w:rPr>
              <w:rFonts w:asciiTheme="minorHAnsi" w:eastAsiaTheme="minorEastAsia" w:hAnsiTheme="minorHAnsi" w:cstheme="minorBidi"/>
              <w:noProof/>
              <w:lang w:val="en-US" w:eastAsia="en-US"/>
            </w:rPr>
          </w:pPr>
          <w:hyperlink w:anchor="_Toc124321784" w:history="1">
            <w:r w:rsidRPr="00D77439">
              <w:rPr>
                <w:rStyle w:val="Hyperlink"/>
                <w:rFonts w:asciiTheme="majorHAnsi" w:hAnsiTheme="majorHAnsi"/>
                <w:b/>
                <w:noProof/>
              </w:rPr>
              <w:t>5.</w:t>
            </w:r>
            <w:r>
              <w:rPr>
                <w:rFonts w:asciiTheme="minorHAnsi" w:eastAsiaTheme="minorEastAsia" w:hAnsiTheme="minorHAnsi" w:cstheme="minorBidi"/>
                <w:noProof/>
                <w:lang w:val="en-US" w:eastAsia="en-US"/>
              </w:rPr>
              <w:tab/>
            </w:r>
            <w:r w:rsidRPr="00D77439">
              <w:rPr>
                <w:rStyle w:val="Hyperlink"/>
                <w:rFonts w:asciiTheme="majorHAnsi" w:hAnsiTheme="majorHAnsi"/>
                <w:b/>
                <w:noProof/>
              </w:rPr>
              <w:t>Cronograma de la estrategia de uso de datos abiertos de la SDHT</w:t>
            </w:r>
            <w:r>
              <w:rPr>
                <w:noProof/>
                <w:webHidden/>
              </w:rPr>
              <w:tab/>
            </w:r>
            <w:r>
              <w:rPr>
                <w:noProof/>
                <w:webHidden/>
              </w:rPr>
              <w:fldChar w:fldCharType="begin"/>
            </w:r>
            <w:r>
              <w:rPr>
                <w:noProof/>
                <w:webHidden/>
              </w:rPr>
              <w:instrText xml:space="preserve"> PAGEREF _Toc124321784 \h </w:instrText>
            </w:r>
            <w:r>
              <w:rPr>
                <w:noProof/>
                <w:webHidden/>
              </w:rPr>
            </w:r>
            <w:r>
              <w:rPr>
                <w:noProof/>
                <w:webHidden/>
              </w:rPr>
              <w:fldChar w:fldCharType="separate"/>
            </w:r>
            <w:r>
              <w:rPr>
                <w:noProof/>
                <w:webHidden/>
              </w:rPr>
              <w:t>9</w:t>
            </w:r>
            <w:r>
              <w:rPr>
                <w:noProof/>
                <w:webHidden/>
              </w:rPr>
              <w:fldChar w:fldCharType="end"/>
            </w:r>
          </w:hyperlink>
        </w:p>
        <w:p w14:paraId="6ACF78CA" w14:textId="69186548" w:rsidR="00311FAF" w:rsidRDefault="00311FAF">
          <w:pPr>
            <w:pStyle w:val="TOC1"/>
            <w:tabs>
              <w:tab w:val="left" w:pos="440"/>
              <w:tab w:val="right" w:leader="dot" w:pos="8828"/>
            </w:tabs>
            <w:rPr>
              <w:rFonts w:asciiTheme="minorHAnsi" w:eastAsiaTheme="minorEastAsia" w:hAnsiTheme="minorHAnsi" w:cstheme="minorBidi"/>
              <w:noProof/>
              <w:lang w:val="en-US" w:eastAsia="en-US"/>
            </w:rPr>
          </w:pPr>
          <w:hyperlink w:anchor="_Toc124321785" w:history="1">
            <w:r w:rsidRPr="00D77439">
              <w:rPr>
                <w:rStyle w:val="Hyperlink"/>
                <w:rFonts w:asciiTheme="majorHAnsi" w:hAnsiTheme="majorHAnsi"/>
                <w:b/>
                <w:noProof/>
              </w:rPr>
              <w:t>6.</w:t>
            </w:r>
            <w:r>
              <w:rPr>
                <w:rFonts w:asciiTheme="minorHAnsi" w:eastAsiaTheme="minorEastAsia" w:hAnsiTheme="minorHAnsi" w:cstheme="minorBidi"/>
                <w:noProof/>
                <w:lang w:val="en-US" w:eastAsia="en-US"/>
              </w:rPr>
              <w:tab/>
            </w:r>
            <w:r w:rsidRPr="00D77439">
              <w:rPr>
                <w:rStyle w:val="Hyperlink"/>
                <w:rFonts w:asciiTheme="majorHAnsi" w:hAnsiTheme="majorHAnsi"/>
                <w:b/>
                <w:noProof/>
              </w:rPr>
              <w:t>Indicadores</w:t>
            </w:r>
            <w:r>
              <w:rPr>
                <w:noProof/>
                <w:webHidden/>
              </w:rPr>
              <w:tab/>
            </w:r>
            <w:r>
              <w:rPr>
                <w:noProof/>
                <w:webHidden/>
              </w:rPr>
              <w:fldChar w:fldCharType="begin"/>
            </w:r>
            <w:r>
              <w:rPr>
                <w:noProof/>
                <w:webHidden/>
              </w:rPr>
              <w:instrText xml:space="preserve"> PAGEREF _Toc124321785 \h </w:instrText>
            </w:r>
            <w:r>
              <w:rPr>
                <w:noProof/>
                <w:webHidden/>
              </w:rPr>
            </w:r>
            <w:r>
              <w:rPr>
                <w:noProof/>
                <w:webHidden/>
              </w:rPr>
              <w:fldChar w:fldCharType="separate"/>
            </w:r>
            <w:r>
              <w:rPr>
                <w:noProof/>
                <w:webHidden/>
              </w:rPr>
              <w:t>9</w:t>
            </w:r>
            <w:r>
              <w:rPr>
                <w:noProof/>
                <w:webHidden/>
              </w:rPr>
              <w:fldChar w:fldCharType="end"/>
            </w:r>
          </w:hyperlink>
        </w:p>
        <w:p w14:paraId="3459DC8A" w14:textId="6E102CA0" w:rsidR="00311FAF" w:rsidRDefault="00311FAF">
          <w:pPr>
            <w:pStyle w:val="TOC1"/>
            <w:tabs>
              <w:tab w:val="left" w:pos="440"/>
              <w:tab w:val="right" w:leader="dot" w:pos="8828"/>
            </w:tabs>
            <w:rPr>
              <w:rFonts w:asciiTheme="minorHAnsi" w:eastAsiaTheme="minorEastAsia" w:hAnsiTheme="minorHAnsi" w:cstheme="minorBidi"/>
              <w:noProof/>
              <w:lang w:val="en-US" w:eastAsia="en-US"/>
            </w:rPr>
          </w:pPr>
          <w:hyperlink w:anchor="_Toc124321786" w:history="1">
            <w:r w:rsidRPr="00D77439">
              <w:rPr>
                <w:rStyle w:val="Hyperlink"/>
                <w:rFonts w:asciiTheme="majorHAnsi" w:hAnsiTheme="majorHAnsi"/>
                <w:b/>
                <w:noProof/>
              </w:rPr>
              <w:t>7.</w:t>
            </w:r>
            <w:r>
              <w:rPr>
                <w:rFonts w:asciiTheme="minorHAnsi" w:eastAsiaTheme="minorEastAsia" w:hAnsiTheme="minorHAnsi" w:cstheme="minorBidi"/>
                <w:noProof/>
                <w:lang w:val="en-US" w:eastAsia="en-US"/>
              </w:rPr>
              <w:tab/>
            </w:r>
            <w:r w:rsidRPr="00D77439">
              <w:rPr>
                <w:rStyle w:val="Hyperlink"/>
                <w:rFonts w:asciiTheme="majorHAnsi" w:hAnsiTheme="majorHAnsi"/>
                <w:b/>
                <w:noProof/>
              </w:rPr>
              <w:t>Glosario</w:t>
            </w:r>
            <w:r>
              <w:rPr>
                <w:noProof/>
                <w:webHidden/>
              </w:rPr>
              <w:tab/>
            </w:r>
            <w:r>
              <w:rPr>
                <w:noProof/>
                <w:webHidden/>
              </w:rPr>
              <w:fldChar w:fldCharType="begin"/>
            </w:r>
            <w:r>
              <w:rPr>
                <w:noProof/>
                <w:webHidden/>
              </w:rPr>
              <w:instrText xml:space="preserve"> PAGEREF _Toc124321786 \h </w:instrText>
            </w:r>
            <w:r>
              <w:rPr>
                <w:noProof/>
                <w:webHidden/>
              </w:rPr>
            </w:r>
            <w:r>
              <w:rPr>
                <w:noProof/>
                <w:webHidden/>
              </w:rPr>
              <w:fldChar w:fldCharType="separate"/>
            </w:r>
            <w:r>
              <w:rPr>
                <w:noProof/>
                <w:webHidden/>
              </w:rPr>
              <w:t>10</w:t>
            </w:r>
            <w:r>
              <w:rPr>
                <w:noProof/>
                <w:webHidden/>
              </w:rPr>
              <w:fldChar w:fldCharType="end"/>
            </w:r>
          </w:hyperlink>
        </w:p>
        <w:p w14:paraId="095F059D" w14:textId="766E570C" w:rsidR="00842F9E" w:rsidRDefault="00842F9E">
          <w:r w:rsidRPr="00842F9E">
            <w:rPr>
              <w:b/>
              <w:bCs/>
              <w:noProof/>
            </w:rPr>
            <w:fldChar w:fldCharType="end"/>
          </w:r>
        </w:p>
      </w:sdtContent>
    </w:sdt>
    <w:p w14:paraId="5C9979FE" w14:textId="105677EC" w:rsidR="00761032" w:rsidRPr="00133362" w:rsidRDefault="00495C41" w:rsidP="00842F9E">
      <w:pPr>
        <w:pStyle w:val="Heading1"/>
        <w:rPr>
          <w:b/>
          <w:color w:val="33CCFF"/>
        </w:rPr>
      </w:pPr>
      <w:r w:rsidRPr="00133362">
        <w:rPr>
          <w:sz w:val="40"/>
          <w:szCs w:val="40"/>
        </w:rPr>
        <w:br w:type="page"/>
      </w:r>
      <w:bookmarkStart w:id="0" w:name="_Toc124321773"/>
      <w:r w:rsidR="007F5841" w:rsidRPr="00133362">
        <w:rPr>
          <w:b/>
          <w:color w:val="4A442A" w:themeColor="background2" w:themeShade="40"/>
        </w:rPr>
        <w:lastRenderedPageBreak/>
        <w:t>Introducción</w:t>
      </w:r>
      <w:bookmarkEnd w:id="0"/>
    </w:p>
    <w:p w14:paraId="550FEDFB" w14:textId="24E081C7" w:rsidR="00922A10" w:rsidRDefault="009D7CE8" w:rsidP="000525EF">
      <w:pPr>
        <w:shd w:val="clear" w:color="auto" w:fill="FFFFFF"/>
        <w:spacing w:before="100" w:beforeAutospacing="1" w:after="100" w:afterAutospacing="1" w:line="240" w:lineRule="auto"/>
        <w:jc w:val="both"/>
        <w:rPr>
          <w:rFonts w:ascii="Times" w:hAnsi="Times" w:cs="Arial"/>
          <w:color w:val="595959" w:themeColor="text1" w:themeTint="A6"/>
          <w:sz w:val="24"/>
          <w:szCs w:val="24"/>
        </w:rPr>
      </w:pPr>
      <w:r>
        <w:rPr>
          <w:rFonts w:ascii="Times" w:hAnsi="Times" w:cs="Arial"/>
          <w:color w:val="595959" w:themeColor="text1" w:themeTint="A6"/>
          <w:sz w:val="24"/>
          <w:szCs w:val="24"/>
        </w:rPr>
        <w:t xml:space="preserve">Colombia está trabajando a través del </w:t>
      </w:r>
      <w:r w:rsidR="00784735" w:rsidRPr="00784735">
        <w:rPr>
          <w:rFonts w:ascii="Times" w:hAnsi="Times" w:cs="Arial"/>
          <w:color w:val="595959" w:themeColor="text1" w:themeTint="A6"/>
          <w:sz w:val="24"/>
          <w:szCs w:val="24"/>
        </w:rPr>
        <w:t xml:space="preserve">Ministerio de Tecnologías de la Información y las Comunicaciones </w:t>
      </w:r>
      <w:r>
        <w:rPr>
          <w:rFonts w:ascii="Times" w:hAnsi="Times" w:cs="Arial"/>
          <w:color w:val="595959" w:themeColor="text1" w:themeTint="A6"/>
          <w:sz w:val="24"/>
          <w:szCs w:val="24"/>
        </w:rPr>
        <w:t xml:space="preserve">en el establecimiento de una cultura de datos abiertos como integrante fundamental de la implementación de la </w:t>
      </w:r>
      <w:r w:rsidR="00C0714F">
        <w:rPr>
          <w:rFonts w:ascii="Times" w:hAnsi="Times" w:cs="Arial"/>
          <w:color w:val="595959" w:themeColor="text1" w:themeTint="A6"/>
          <w:sz w:val="24"/>
          <w:szCs w:val="24"/>
        </w:rPr>
        <w:t>e</w:t>
      </w:r>
      <w:r>
        <w:rPr>
          <w:rFonts w:ascii="Times" w:hAnsi="Times" w:cs="Arial"/>
          <w:color w:val="595959" w:themeColor="text1" w:themeTint="A6"/>
          <w:sz w:val="24"/>
          <w:szCs w:val="24"/>
        </w:rPr>
        <w:t xml:space="preserve">strategia </w:t>
      </w:r>
      <w:r w:rsidRPr="00D70B21">
        <w:rPr>
          <w:rFonts w:ascii="Times" w:hAnsi="Times" w:cs="Arial"/>
          <w:color w:val="595959" w:themeColor="text1" w:themeTint="A6"/>
          <w:sz w:val="24"/>
          <w:szCs w:val="24"/>
        </w:rPr>
        <w:t xml:space="preserve">de Gobierno </w:t>
      </w:r>
      <w:r w:rsidR="00D70B21" w:rsidRPr="00D70B21">
        <w:rPr>
          <w:rFonts w:ascii="Times" w:hAnsi="Times" w:cs="Arial"/>
          <w:color w:val="595959" w:themeColor="text1" w:themeTint="A6"/>
          <w:sz w:val="24"/>
          <w:szCs w:val="24"/>
        </w:rPr>
        <w:t>Digital</w:t>
      </w:r>
      <w:r w:rsidR="00C0714F" w:rsidRPr="00D70B21">
        <w:rPr>
          <w:rFonts w:ascii="Times" w:hAnsi="Times" w:cs="Arial"/>
          <w:color w:val="595959" w:themeColor="text1" w:themeTint="A6"/>
          <w:sz w:val="24"/>
          <w:szCs w:val="24"/>
        </w:rPr>
        <w:t>.</w:t>
      </w:r>
      <w:r w:rsidR="00C0714F">
        <w:rPr>
          <w:rFonts w:ascii="Times" w:hAnsi="Times" w:cs="Arial"/>
          <w:color w:val="595959" w:themeColor="text1" w:themeTint="A6"/>
          <w:sz w:val="24"/>
          <w:szCs w:val="24"/>
        </w:rPr>
        <w:t xml:space="preserve"> </w:t>
      </w:r>
      <w:r>
        <w:rPr>
          <w:rFonts w:ascii="Times" w:hAnsi="Times" w:cs="Arial"/>
          <w:color w:val="595959" w:themeColor="text1" w:themeTint="A6"/>
          <w:sz w:val="24"/>
          <w:szCs w:val="24"/>
        </w:rPr>
        <w:t xml:space="preserve"> Dado lo anterior ha recogido buenas prácticas </w:t>
      </w:r>
      <w:r w:rsidR="00715C4C">
        <w:rPr>
          <w:rFonts w:ascii="Times" w:hAnsi="Times" w:cs="Arial"/>
          <w:color w:val="595959" w:themeColor="text1" w:themeTint="A6"/>
          <w:sz w:val="24"/>
          <w:szCs w:val="24"/>
        </w:rPr>
        <w:t xml:space="preserve">a </w:t>
      </w:r>
      <w:r>
        <w:rPr>
          <w:rFonts w:ascii="Times" w:hAnsi="Times" w:cs="Arial"/>
          <w:color w:val="595959" w:themeColor="text1" w:themeTint="A6"/>
          <w:sz w:val="24"/>
          <w:szCs w:val="24"/>
        </w:rPr>
        <w:t>nivel mundial y ha generado una serie de guías y lineamientos que le permitan a las Entidades Públicas del País el avanzar en la implementación de datos abiertos.</w:t>
      </w:r>
      <w:r w:rsidR="00922A10">
        <w:rPr>
          <w:rFonts w:ascii="Times" w:hAnsi="Times" w:cs="Arial"/>
          <w:color w:val="595959" w:themeColor="text1" w:themeTint="A6"/>
          <w:sz w:val="24"/>
          <w:szCs w:val="24"/>
        </w:rPr>
        <w:t xml:space="preserve"> </w:t>
      </w:r>
    </w:p>
    <w:p w14:paraId="74347DBE" w14:textId="3F173BE0" w:rsidR="00E9265A" w:rsidRDefault="000525EF" w:rsidP="00E9265A">
      <w:pPr>
        <w:shd w:val="clear" w:color="auto" w:fill="FFFFFF"/>
        <w:spacing w:before="100" w:beforeAutospacing="1" w:after="100" w:afterAutospacing="1" w:line="240" w:lineRule="auto"/>
        <w:jc w:val="both"/>
        <w:rPr>
          <w:rFonts w:ascii="Times" w:hAnsi="Times" w:cs="Arial"/>
          <w:color w:val="595959" w:themeColor="text1" w:themeTint="A6"/>
          <w:sz w:val="24"/>
          <w:szCs w:val="24"/>
        </w:rPr>
      </w:pPr>
      <w:r w:rsidRPr="000525EF">
        <w:rPr>
          <w:rFonts w:ascii="Times" w:hAnsi="Times" w:cs="Arial"/>
          <w:color w:val="595959" w:themeColor="text1" w:themeTint="A6"/>
          <w:sz w:val="24"/>
          <w:szCs w:val="24"/>
        </w:rPr>
        <w:t xml:space="preserve">La guía para la apertura de datos abiertos en Colombia, publicada por el Ministerio de Tecnologías de la Información y las Comunicaciones, define datos abiertos como </w:t>
      </w:r>
      <w:r w:rsidR="00AA535C">
        <w:rPr>
          <w:rFonts w:ascii="Times" w:hAnsi="Times" w:cs="Arial"/>
          <w:color w:val="595959" w:themeColor="text1" w:themeTint="A6"/>
          <w:sz w:val="24"/>
          <w:szCs w:val="24"/>
        </w:rPr>
        <w:t>“</w:t>
      </w:r>
      <w:r w:rsidR="00AA535C" w:rsidRPr="00C0714F">
        <w:rPr>
          <w:rFonts w:ascii="Times" w:hAnsi="Times" w:cs="Arial"/>
          <w:i/>
          <w:color w:val="595959" w:themeColor="text1" w:themeTint="A6"/>
          <w:sz w:val="24"/>
          <w:szCs w:val="24"/>
        </w:rPr>
        <w:t>…</w:t>
      </w:r>
      <w:r w:rsidRPr="00C0714F">
        <w:rPr>
          <w:rFonts w:ascii="Times" w:hAnsi="Times" w:cs="Arial"/>
          <w:i/>
          <w:color w:val="595959" w:themeColor="text1" w:themeTint="A6"/>
          <w:sz w:val="24"/>
          <w:szCs w:val="24"/>
        </w:rPr>
        <w:t>todos aquellos datos primarios, sin procesar, en formatos estándar, estructurados e interoperables que facilitan su acceso y permiten su reutilización, los cuales están bajo la custodia de las entidades públicas y que pueden ser obtenidos y ofrecidos sin reserva alguna, de forma libre y sin restricciones, con el fin de que terceros puedan reutilizarlos y crear servicios derivados de los mismos</w:t>
      </w:r>
      <w:r w:rsidR="00AA535C" w:rsidRPr="00C0714F">
        <w:rPr>
          <w:rFonts w:ascii="Times" w:hAnsi="Times" w:cs="Arial"/>
          <w:i/>
          <w:color w:val="595959" w:themeColor="text1" w:themeTint="A6"/>
          <w:sz w:val="24"/>
          <w:szCs w:val="24"/>
        </w:rPr>
        <w:t>..</w:t>
      </w:r>
      <w:r w:rsidRPr="00C0714F">
        <w:rPr>
          <w:rFonts w:ascii="Times" w:hAnsi="Times" w:cs="Arial"/>
          <w:i/>
          <w:color w:val="595959" w:themeColor="text1" w:themeTint="A6"/>
          <w:sz w:val="24"/>
          <w:szCs w:val="24"/>
        </w:rPr>
        <w:t>.</w:t>
      </w:r>
      <w:r w:rsidR="00AA535C">
        <w:rPr>
          <w:rFonts w:ascii="Times" w:hAnsi="Times" w:cs="Arial"/>
          <w:color w:val="595959" w:themeColor="text1" w:themeTint="A6"/>
          <w:sz w:val="24"/>
          <w:szCs w:val="24"/>
        </w:rPr>
        <w:t>”</w:t>
      </w:r>
    </w:p>
    <w:p w14:paraId="06CFB513" w14:textId="0B710364" w:rsidR="00947F02" w:rsidRDefault="00947F02" w:rsidP="00E9265A">
      <w:pPr>
        <w:shd w:val="clear" w:color="auto" w:fill="FFFFFF"/>
        <w:spacing w:before="100" w:beforeAutospacing="1" w:after="100" w:afterAutospacing="1" w:line="240" w:lineRule="auto"/>
        <w:jc w:val="both"/>
        <w:rPr>
          <w:rFonts w:ascii="Times" w:hAnsi="Times" w:cs="Arial"/>
          <w:color w:val="595959" w:themeColor="text1" w:themeTint="A6"/>
          <w:sz w:val="24"/>
          <w:szCs w:val="24"/>
        </w:rPr>
      </w:pPr>
      <w:r w:rsidRPr="00947F02">
        <w:rPr>
          <w:rFonts w:ascii="Times" w:hAnsi="Times" w:cs="Arial"/>
          <w:color w:val="595959" w:themeColor="text1" w:themeTint="A6"/>
          <w:sz w:val="24"/>
          <w:szCs w:val="24"/>
        </w:rPr>
        <w:t>La Secretaría General de la Alcaldía Mayor de Bogotá, mediante el documento</w:t>
      </w:r>
      <w:r>
        <w:t xml:space="preserve"> </w:t>
      </w:r>
      <w:r w:rsidRPr="00947F02">
        <w:rPr>
          <w:rFonts w:ascii="Times" w:hAnsi="Times" w:cs="Arial"/>
          <w:i/>
          <w:color w:val="595959" w:themeColor="text1" w:themeTint="A6"/>
          <w:sz w:val="24"/>
          <w:szCs w:val="24"/>
        </w:rPr>
        <w:t>“Guía orientadora para la implementación de la directiva 005 de 2020”</w:t>
      </w:r>
      <w:r>
        <w:t xml:space="preserve"> </w:t>
      </w:r>
      <w:r w:rsidRPr="00947F02">
        <w:rPr>
          <w:rFonts w:ascii="Times" w:hAnsi="Times" w:cs="Arial"/>
          <w:color w:val="595959" w:themeColor="text1" w:themeTint="A6"/>
          <w:sz w:val="24"/>
          <w:szCs w:val="24"/>
        </w:rPr>
        <w:t xml:space="preserve">sobre datos abiertos, define que </w:t>
      </w:r>
      <w:r w:rsidRPr="00947F02">
        <w:rPr>
          <w:rFonts w:ascii="Times" w:hAnsi="Times" w:cs="Arial"/>
          <w:i/>
          <w:color w:val="595959" w:themeColor="text1" w:themeTint="A6"/>
          <w:sz w:val="24"/>
          <w:szCs w:val="24"/>
        </w:rPr>
        <w:t xml:space="preserve">“El propósito de esta estrategia es contribuir a la identificación, actualización y publicación de los datos abiertos para uso ciudadano (tanto a demanda ciudadana como por iniciativa de las entidades), así como potenciar su aprovechamiento a través de la formación de comunidades y ejercicios de aprovechamiento de datos abiertos. Para el logro de las actividades descritas a continuación, especialmente en lo relacionado con el aprovechamiento de datos, las entidades propenderán por su materialización en el marco de los procesos </w:t>
      </w:r>
      <w:r w:rsidRPr="00947F02">
        <w:rPr>
          <w:rFonts w:ascii="Times" w:hAnsi="Times" w:cs="Arial"/>
          <w:color w:val="595959" w:themeColor="text1" w:themeTint="A6"/>
          <w:sz w:val="24"/>
          <w:szCs w:val="24"/>
        </w:rPr>
        <w:t>institucionales</w:t>
      </w:r>
      <w:r w:rsidRPr="00947F02">
        <w:rPr>
          <w:rFonts w:ascii="Times" w:hAnsi="Times" w:cs="Arial"/>
          <w:i/>
          <w:color w:val="595959" w:themeColor="text1" w:themeTint="A6"/>
          <w:sz w:val="24"/>
          <w:szCs w:val="24"/>
        </w:rPr>
        <w:t xml:space="preserve"> y revisarán su capacidad instalada para, en caso de que lo consideren pertinente, asignar los recursos necesarios para su realización en el corto, mediano y largo plazo, de acuerdo con sus prioridades y experiencia institucional”.</w:t>
      </w:r>
    </w:p>
    <w:p w14:paraId="5C2A5DF3" w14:textId="63BE0E86" w:rsidR="00784735" w:rsidRDefault="00E9265A" w:rsidP="00E9265A">
      <w:pPr>
        <w:shd w:val="clear" w:color="auto" w:fill="FFFFFF"/>
        <w:spacing w:before="100" w:beforeAutospacing="1" w:after="100" w:afterAutospacing="1" w:line="240" w:lineRule="auto"/>
        <w:jc w:val="both"/>
        <w:rPr>
          <w:rFonts w:ascii="Times" w:hAnsi="Times" w:cs="Arial"/>
          <w:color w:val="595959" w:themeColor="text1" w:themeTint="A6"/>
          <w:sz w:val="24"/>
          <w:szCs w:val="24"/>
        </w:rPr>
      </w:pPr>
      <w:r>
        <w:rPr>
          <w:rFonts w:ascii="Times" w:hAnsi="Times" w:cs="Arial"/>
          <w:color w:val="595959" w:themeColor="text1" w:themeTint="A6"/>
          <w:sz w:val="24"/>
          <w:szCs w:val="24"/>
        </w:rPr>
        <w:t>La Secretaría Distrital del Hábitat</w:t>
      </w:r>
      <w:r w:rsidRPr="00E9265A">
        <w:rPr>
          <w:rFonts w:ascii="Times" w:hAnsi="Times" w:cs="Arial"/>
          <w:color w:val="595959" w:themeColor="text1" w:themeTint="A6"/>
          <w:sz w:val="24"/>
          <w:szCs w:val="24"/>
        </w:rPr>
        <w:t>, en cumplimiento de los lineamientos de Datos abiertos para Colombia</w:t>
      </w:r>
      <w:r w:rsidR="00117671">
        <w:rPr>
          <w:rFonts w:ascii="Times" w:hAnsi="Times" w:cs="Arial"/>
          <w:color w:val="595959" w:themeColor="text1" w:themeTint="A6"/>
          <w:sz w:val="24"/>
          <w:szCs w:val="24"/>
        </w:rPr>
        <w:t xml:space="preserve"> y los lineamientos impartidos desde la Secretaría General de la Alcaldía Mayor de la ciudad</w:t>
      </w:r>
      <w:r w:rsidRPr="00E9265A">
        <w:rPr>
          <w:rFonts w:ascii="Times" w:hAnsi="Times" w:cs="Arial"/>
          <w:color w:val="595959" w:themeColor="text1" w:themeTint="A6"/>
          <w:sz w:val="24"/>
          <w:szCs w:val="24"/>
        </w:rPr>
        <w:t xml:space="preserve">, </w:t>
      </w:r>
      <w:r>
        <w:rPr>
          <w:rFonts w:ascii="Times" w:hAnsi="Times" w:cs="Arial"/>
          <w:color w:val="595959" w:themeColor="text1" w:themeTint="A6"/>
          <w:sz w:val="24"/>
          <w:szCs w:val="24"/>
        </w:rPr>
        <w:t xml:space="preserve">dentro de su gestión de información, </w:t>
      </w:r>
      <w:r w:rsidRPr="00E9265A">
        <w:rPr>
          <w:rFonts w:ascii="Times" w:hAnsi="Times" w:cs="Arial"/>
          <w:color w:val="595959" w:themeColor="text1" w:themeTint="A6"/>
          <w:sz w:val="24"/>
          <w:szCs w:val="24"/>
        </w:rPr>
        <w:t>administra la oferta y demanda de acceso</w:t>
      </w:r>
      <w:r>
        <w:rPr>
          <w:rFonts w:ascii="Times" w:hAnsi="Times" w:cs="Arial"/>
          <w:color w:val="595959" w:themeColor="text1" w:themeTint="A6"/>
          <w:sz w:val="24"/>
          <w:szCs w:val="24"/>
        </w:rPr>
        <w:t xml:space="preserve"> a l</w:t>
      </w:r>
      <w:r w:rsidRPr="00E9265A">
        <w:rPr>
          <w:rFonts w:ascii="Times" w:hAnsi="Times" w:cs="Arial"/>
          <w:color w:val="595959" w:themeColor="text1" w:themeTint="A6"/>
          <w:sz w:val="24"/>
          <w:szCs w:val="24"/>
        </w:rPr>
        <w:t xml:space="preserve">os datos que genera y </w:t>
      </w:r>
      <w:r>
        <w:rPr>
          <w:rFonts w:ascii="Times" w:hAnsi="Times" w:cs="Arial"/>
          <w:color w:val="595959" w:themeColor="text1" w:themeTint="A6"/>
          <w:sz w:val="24"/>
          <w:szCs w:val="24"/>
        </w:rPr>
        <w:t>los deja a disposición de la comunidad en formatos de datos abiertos.</w:t>
      </w:r>
    </w:p>
    <w:p w14:paraId="53C88100" w14:textId="75A09DAA" w:rsidR="00F54A45" w:rsidRDefault="00F54A45" w:rsidP="00F54A45">
      <w:pPr>
        <w:jc w:val="both"/>
        <w:rPr>
          <w:rFonts w:ascii="Times" w:hAnsi="Times" w:cs="Arial"/>
          <w:color w:val="595959" w:themeColor="text1" w:themeTint="A6"/>
          <w:sz w:val="24"/>
          <w:szCs w:val="24"/>
        </w:rPr>
      </w:pPr>
      <w:r>
        <w:rPr>
          <w:rFonts w:ascii="Times" w:hAnsi="Times" w:cs="Arial"/>
          <w:color w:val="595959" w:themeColor="text1" w:themeTint="A6"/>
          <w:sz w:val="24"/>
          <w:szCs w:val="24"/>
        </w:rPr>
        <w:t xml:space="preserve">Dentro del </w:t>
      </w:r>
      <w:r w:rsidRPr="009B306B">
        <w:rPr>
          <w:rFonts w:ascii="Times" w:hAnsi="Times" w:cs="Arial"/>
          <w:b/>
          <w:bCs/>
          <w:color w:val="595959" w:themeColor="text1" w:themeTint="A6"/>
          <w:sz w:val="24"/>
          <w:szCs w:val="24"/>
        </w:rPr>
        <w:t xml:space="preserve">Plan de </w:t>
      </w:r>
      <w:r w:rsidR="009B306B" w:rsidRPr="009B306B">
        <w:rPr>
          <w:rFonts w:ascii="Times" w:hAnsi="Times" w:cs="Arial"/>
          <w:b/>
          <w:bCs/>
          <w:color w:val="595959" w:themeColor="text1" w:themeTint="A6"/>
          <w:sz w:val="24"/>
          <w:szCs w:val="24"/>
        </w:rPr>
        <w:t>Transparencia y Ética Pública</w:t>
      </w:r>
      <w:r w:rsidR="009B306B">
        <w:rPr>
          <w:rFonts w:ascii="Times" w:hAnsi="Times" w:cs="Arial"/>
          <w:color w:val="595959" w:themeColor="text1" w:themeTint="A6"/>
          <w:sz w:val="24"/>
          <w:szCs w:val="24"/>
        </w:rPr>
        <w:t xml:space="preserve"> (anteriormente </w:t>
      </w:r>
      <w:r w:rsidRPr="00F54A45">
        <w:rPr>
          <w:rFonts w:ascii="Times" w:hAnsi="Times" w:cs="Arial"/>
          <w:color w:val="595959" w:themeColor="text1" w:themeTint="A6"/>
          <w:sz w:val="24"/>
          <w:szCs w:val="24"/>
        </w:rPr>
        <w:t>Plan Anticorrupción y Atención al Ciudadano</w:t>
      </w:r>
      <w:r w:rsidR="009B306B">
        <w:rPr>
          <w:rFonts w:ascii="Times" w:hAnsi="Times" w:cs="Arial"/>
          <w:color w:val="595959" w:themeColor="text1" w:themeTint="A6"/>
          <w:sz w:val="24"/>
          <w:szCs w:val="24"/>
        </w:rPr>
        <w:t>)</w:t>
      </w:r>
      <w:r>
        <w:rPr>
          <w:rFonts w:ascii="Times" w:hAnsi="Times" w:cs="Arial"/>
          <w:color w:val="595959" w:themeColor="text1" w:themeTint="A6"/>
          <w:sz w:val="24"/>
          <w:szCs w:val="24"/>
        </w:rPr>
        <w:t xml:space="preserve">, el </w:t>
      </w:r>
      <w:r w:rsidR="00F875D6">
        <w:rPr>
          <w:rFonts w:ascii="Times" w:hAnsi="Times" w:cs="Arial"/>
          <w:color w:val="595959" w:themeColor="text1" w:themeTint="A6"/>
          <w:sz w:val="24"/>
          <w:szCs w:val="24"/>
        </w:rPr>
        <w:t>cual</w:t>
      </w:r>
      <w:r>
        <w:rPr>
          <w:rFonts w:ascii="Times" w:hAnsi="Times" w:cs="Arial"/>
          <w:color w:val="595959" w:themeColor="text1" w:themeTint="A6"/>
          <w:sz w:val="24"/>
          <w:szCs w:val="24"/>
        </w:rPr>
        <w:t xml:space="preserve"> contiene dentro sus puntos focales la generación de transparencia en el actuar de la administración pública y especialmente en el actuar de la SDHT, </w:t>
      </w:r>
      <w:r w:rsidR="009B306B">
        <w:rPr>
          <w:rFonts w:ascii="Times" w:hAnsi="Times" w:cs="Arial"/>
          <w:color w:val="595959" w:themeColor="text1" w:themeTint="A6"/>
          <w:sz w:val="24"/>
          <w:szCs w:val="24"/>
        </w:rPr>
        <w:t xml:space="preserve">para el año 2023 </w:t>
      </w:r>
      <w:r>
        <w:rPr>
          <w:rFonts w:ascii="Times" w:hAnsi="Times" w:cs="Arial"/>
          <w:color w:val="595959" w:themeColor="text1" w:themeTint="A6"/>
          <w:sz w:val="24"/>
          <w:szCs w:val="24"/>
        </w:rPr>
        <w:t xml:space="preserve">contiene </w:t>
      </w:r>
      <w:r w:rsidR="009B306B">
        <w:rPr>
          <w:rFonts w:ascii="Times" w:hAnsi="Times" w:cs="Arial"/>
          <w:color w:val="595959" w:themeColor="text1" w:themeTint="A6"/>
          <w:sz w:val="24"/>
          <w:szCs w:val="24"/>
        </w:rPr>
        <w:t xml:space="preserve">el </w:t>
      </w:r>
      <w:r>
        <w:rPr>
          <w:rFonts w:ascii="Times" w:hAnsi="Times" w:cs="Arial"/>
          <w:color w:val="595959" w:themeColor="text1" w:themeTint="A6"/>
          <w:sz w:val="24"/>
          <w:szCs w:val="24"/>
        </w:rPr>
        <w:t xml:space="preserve">componente No.5 – </w:t>
      </w:r>
      <w:r w:rsidR="009B306B">
        <w:rPr>
          <w:rFonts w:ascii="Times" w:hAnsi="Times" w:cs="Arial"/>
          <w:color w:val="595959" w:themeColor="text1" w:themeTint="A6"/>
          <w:sz w:val="24"/>
          <w:szCs w:val="24"/>
        </w:rPr>
        <w:t>Apertura de Información y Datos Abiertos</w:t>
      </w:r>
      <w:r>
        <w:rPr>
          <w:rFonts w:ascii="Times" w:hAnsi="Times" w:cs="Arial"/>
          <w:color w:val="595959" w:themeColor="text1" w:themeTint="A6"/>
          <w:sz w:val="24"/>
          <w:szCs w:val="24"/>
        </w:rPr>
        <w:t xml:space="preserve">, </w:t>
      </w:r>
      <w:r w:rsidR="009B306B">
        <w:rPr>
          <w:rFonts w:ascii="Times" w:hAnsi="Times" w:cs="Arial"/>
          <w:color w:val="595959" w:themeColor="text1" w:themeTint="A6"/>
          <w:sz w:val="24"/>
          <w:szCs w:val="24"/>
        </w:rPr>
        <w:t>recogiendo</w:t>
      </w:r>
      <w:r w:rsidRPr="00F54A45">
        <w:rPr>
          <w:rFonts w:ascii="Times" w:hAnsi="Times" w:cs="Arial"/>
          <w:color w:val="595959" w:themeColor="text1" w:themeTint="A6"/>
          <w:sz w:val="24"/>
          <w:szCs w:val="24"/>
        </w:rPr>
        <w:t xml:space="preserve"> los lineamientos para </w:t>
      </w:r>
      <w:r w:rsidR="009B306B">
        <w:rPr>
          <w:rFonts w:ascii="Times" w:hAnsi="Times" w:cs="Arial"/>
          <w:color w:val="595959" w:themeColor="text1" w:themeTint="A6"/>
          <w:sz w:val="24"/>
          <w:szCs w:val="24"/>
        </w:rPr>
        <w:t xml:space="preserve">garantizar </w:t>
      </w:r>
      <w:r w:rsidRPr="00F54A45">
        <w:rPr>
          <w:rFonts w:ascii="Times" w:hAnsi="Times" w:cs="Arial"/>
          <w:color w:val="595959" w:themeColor="text1" w:themeTint="A6"/>
          <w:sz w:val="24"/>
          <w:szCs w:val="24"/>
        </w:rPr>
        <w:t xml:space="preserve">el derecho fundamental de acceso a la información pública, </w:t>
      </w:r>
      <w:r>
        <w:rPr>
          <w:rFonts w:ascii="Times" w:hAnsi="Times" w:cs="Arial"/>
          <w:color w:val="595959" w:themeColor="text1" w:themeTint="A6"/>
          <w:sz w:val="24"/>
          <w:szCs w:val="24"/>
        </w:rPr>
        <w:t>para que</w:t>
      </w:r>
      <w:r w:rsidRPr="00F54A45">
        <w:rPr>
          <w:rFonts w:ascii="Times" w:hAnsi="Times" w:cs="Arial"/>
          <w:color w:val="595959" w:themeColor="text1" w:themeTint="A6"/>
          <w:sz w:val="24"/>
          <w:szCs w:val="24"/>
        </w:rPr>
        <w:t xml:space="preserve"> toda persona pued</w:t>
      </w:r>
      <w:r>
        <w:rPr>
          <w:rFonts w:ascii="Times" w:hAnsi="Times" w:cs="Arial"/>
          <w:color w:val="595959" w:themeColor="text1" w:themeTint="A6"/>
          <w:sz w:val="24"/>
          <w:szCs w:val="24"/>
        </w:rPr>
        <w:t>a</w:t>
      </w:r>
      <w:r w:rsidRPr="00F54A45">
        <w:rPr>
          <w:rFonts w:ascii="Times" w:hAnsi="Times" w:cs="Arial"/>
          <w:color w:val="595959" w:themeColor="text1" w:themeTint="A6"/>
          <w:sz w:val="24"/>
          <w:szCs w:val="24"/>
        </w:rPr>
        <w:t xml:space="preserve"> acceder a la información pública en posesión o bajo el control de los sujetos obligados de la ley, excepto la información y los documentos considerados como legalmente reservados.</w:t>
      </w:r>
    </w:p>
    <w:p w14:paraId="32AB698F" w14:textId="77777777" w:rsidR="000150E0" w:rsidRPr="00842F9E" w:rsidRDefault="000150E0" w:rsidP="0038699E">
      <w:pPr>
        <w:pStyle w:val="Heading3"/>
        <w:jc w:val="both"/>
        <w:rPr>
          <w:rFonts w:ascii="Times" w:eastAsiaTheme="minorHAnsi" w:hAnsi="Times" w:cs="Arial"/>
          <w:color w:val="595959" w:themeColor="text1" w:themeTint="A6"/>
          <w:lang w:eastAsia="en-US"/>
        </w:rPr>
      </w:pPr>
    </w:p>
    <w:p w14:paraId="0ECB0E81" w14:textId="687B9D97" w:rsidR="00F54BB5" w:rsidRPr="00420630" w:rsidRDefault="00AF1607" w:rsidP="00420630">
      <w:pPr>
        <w:rPr>
          <w:rFonts w:ascii="Times" w:hAnsi="Times" w:cs="Arial"/>
          <w:color w:val="595959" w:themeColor="text1" w:themeTint="A6"/>
          <w:sz w:val="24"/>
          <w:szCs w:val="24"/>
        </w:rPr>
      </w:pPr>
      <w:bookmarkStart w:id="1" w:name="_Toc124320839"/>
      <w:r w:rsidRPr="00420630">
        <w:rPr>
          <w:rFonts w:ascii="Times" w:hAnsi="Times" w:cs="Arial"/>
          <w:color w:val="595959" w:themeColor="text1" w:themeTint="A6"/>
          <w:sz w:val="24"/>
          <w:szCs w:val="24"/>
        </w:rPr>
        <w:t>P</w:t>
      </w:r>
      <w:r w:rsidR="0038699E" w:rsidRPr="00420630">
        <w:rPr>
          <w:rFonts w:ascii="Times" w:hAnsi="Times" w:cs="Arial"/>
          <w:color w:val="595959" w:themeColor="text1" w:themeTint="A6"/>
          <w:sz w:val="24"/>
          <w:szCs w:val="24"/>
        </w:rPr>
        <w:t xml:space="preserve">ara materializar las actividades a realizar específicamente desde datos abiertos, la SDHT ha establecido en el </w:t>
      </w:r>
      <w:r w:rsidR="00F54BB5" w:rsidRPr="00420630">
        <w:rPr>
          <w:rFonts w:ascii="Times" w:hAnsi="Times" w:cs="Arial"/>
          <w:color w:val="595959" w:themeColor="text1" w:themeTint="A6"/>
          <w:sz w:val="24"/>
          <w:szCs w:val="24"/>
        </w:rPr>
        <w:t>PTEP los siguientes subcomponentes:</w:t>
      </w:r>
      <w:bookmarkEnd w:id="1"/>
    </w:p>
    <w:p w14:paraId="24FC154C" w14:textId="669DFF09" w:rsidR="00F54BB5" w:rsidRPr="00F54BB5" w:rsidRDefault="00F54BB5" w:rsidP="00F54BB5">
      <w:pPr>
        <w:pStyle w:val="ListParagraph"/>
        <w:numPr>
          <w:ilvl w:val="0"/>
          <w:numId w:val="32"/>
        </w:numPr>
        <w:spacing w:after="0"/>
        <w:rPr>
          <w:rFonts w:ascii="Times" w:hAnsi="Times" w:cs="Arial"/>
          <w:color w:val="595959" w:themeColor="text1" w:themeTint="A6"/>
          <w:sz w:val="24"/>
          <w:szCs w:val="24"/>
        </w:rPr>
      </w:pPr>
      <w:r w:rsidRPr="00F54BB5">
        <w:rPr>
          <w:rFonts w:ascii="Times" w:hAnsi="Times" w:cs="Arial"/>
          <w:color w:val="595959" w:themeColor="text1" w:themeTint="A6"/>
          <w:sz w:val="24"/>
          <w:szCs w:val="24"/>
        </w:rPr>
        <w:t>Apertura de datos para los ciudadanos y grupos de interés.</w:t>
      </w:r>
    </w:p>
    <w:p w14:paraId="564DE624" w14:textId="34FB51F6" w:rsidR="00F54BB5" w:rsidRPr="00F54BB5" w:rsidRDefault="00F54BB5" w:rsidP="00F54BB5">
      <w:pPr>
        <w:pStyle w:val="ListParagraph"/>
        <w:numPr>
          <w:ilvl w:val="0"/>
          <w:numId w:val="32"/>
        </w:numPr>
        <w:spacing w:after="0"/>
        <w:rPr>
          <w:rFonts w:ascii="Times" w:hAnsi="Times" w:cs="Arial"/>
          <w:color w:val="595959" w:themeColor="text1" w:themeTint="A6"/>
          <w:sz w:val="24"/>
          <w:szCs w:val="24"/>
        </w:rPr>
      </w:pPr>
      <w:r w:rsidRPr="00F54BB5">
        <w:rPr>
          <w:rFonts w:ascii="Times" w:hAnsi="Times" w:cs="Arial"/>
          <w:color w:val="595959" w:themeColor="text1" w:themeTint="A6"/>
          <w:sz w:val="24"/>
          <w:szCs w:val="24"/>
        </w:rPr>
        <w:t xml:space="preserve">Entrega de información en lenguaje sencillo que </w:t>
      </w:r>
      <w:r w:rsidR="00842F9E" w:rsidRPr="00F54BB5">
        <w:rPr>
          <w:rFonts w:ascii="Times" w:hAnsi="Times" w:cs="Arial"/>
          <w:color w:val="595959" w:themeColor="text1" w:themeTint="A6"/>
          <w:sz w:val="24"/>
          <w:szCs w:val="24"/>
        </w:rPr>
        <w:t>dé</w:t>
      </w:r>
      <w:r w:rsidRPr="00F54BB5">
        <w:rPr>
          <w:rFonts w:ascii="Times" w:hAnsi="Times" w:cs="Arial"/>
          <w:color w:val="595959" w:themeColor="text1" w:themeTint="A6"/>
          <w:sz w:val="24"/>
          <w:szCs w:val="24"/>
        </w:rPr>
        <w:t xml:space="preserve"> cuenta de la gestión institucional</w:t>
      </w:r>
    </w:p>
    <w:p w14:paraId="7FB0A8F2" w14:textId="0C7E5899" w:rsidR="00F54BB5" w:rsidRPr="00F54BB5" w:rsidRDefault="00F54BB5" w:rsidP="00F54BB5">
      <w:pPr>
        <w:pStyle w:val="ListParagraph"/>
        <w:numPr>
          <w:ilvl w:val="0"/>
          <w:numId w:val="32"/>
        </w:numPr>
        <w:spacing w:after="0"/>
        <w:rPr>
          <w:rFonts w:ascii="Times" w:hAnsi="Times" w:cs="Arial"/>
          <w:color w:val="595959" w:themeColor="text1" w:themeTint="A6"/>
          <w:sz w:val="24"/>
          <w:szCs w:val="24"/>
        </w:rPr>
      </w:pPr>
      <w:r w:rsidRPr="00F54BB5">
        <w:rPr>
          <w:rFonts w:ascii="Times" w:hAnsi="Times" w:cs="Arial"/>
          <w:color w:val="595959" w:themeColor="text1" w:themeTint="A6"/>
          <w:sz w:val="24"/>
          <w:szCs w:val="24"/>
        </w:rPr>
        <w:t>Apertura de la información presupuestal institucional y de resultados</w:t>
      </w:r>
    </w:p>
    <w:p w14:paraId="5FE0CD18" w14:textId="7DC11C89" w:rsidR="0038699E" w:rsidRPr="00F54BB5" w:rsidRDefault="00F54BB5" w:rsidP="00F54BB5">
      <w:pPr>
        <w:pStyle w:val="ListParagraph"/>
        <w:numPr>
          <w:ilvl w:val="0"/>
          <w:numId w:val="32"/>
        </w:numPr>
        <w:rPr>
          <w:rFonts w:ascii="Times" w:hAnsi="Times" w:cs="Arial"/>
          <w:color w:val="595959" w:themeColor="text1" w:themeTint="A6"/>
          <w:sz w:val="24"/>
          <w:szCs w:val="24"/>
        </w:rPr>
      </w:pPr>
      <w:r w:rsidRPr="00F54BB5">
        <w:rPr>
          <w:rFonts w:ascii="Times" w:hAnsi="Times" w:cs="Arial"/>
          <w:color w:val="595959" w:themeColor="text1" w:themeTint="A6"/>
          <w:sz w:val="24"/>
          <w:szCs w:val="24"/>
        </w:rPr>
        <w:t>Estandarización de datos abiertos para intercambio de información</w:t>
      </w:r>
    </w:p>
    <w:p w14:paraId="49FA5392" w14:textId="3DAA3DDC" w:rsidR="00387B1F" w:rsidRDefault="0038699E" w:rsidP="0038699E">
      <w:pPr>
        <w:jc w:val="both"/>
        <w:rPr>
          <w:rFonts w:ascii="Times" w:hAnsi="Times" w:cs="Arial"/>
          <w:color w:val="595959" w:themeColor="text1" w:themeTint="A6"/>
          <w:sz w:val="24"/>
          <w:szCs w:val="24"/>
        </w:rPr>
      </w:pPr>
      <w:r>
        <w:rPr>
          <w:rFonts w:ascii="Times" w:hAnsi="Times" w:cs="Arial"/>
          <w:color w:val="595959" w:themeColor="text1" w:themeTint="A6"/>
          <w:sz w:val="24"/>
          <w:szCs w:val="24"/>
        </w:rPr>
        <w:t>Teniendo en cuenta lo anterior, e</w:t>
      </w:r>
      <w:r w:rsidR="00E9265A" w:rsidRPr="00E9265A">
        <w:rPr>
          <w:rFonts w:ascii="Times" w:hAnsi="Times" w:cs="Arial"/>
          <w:color w:val="595959" w:themeColor="text1" w:themeTint="A6"/>
          <w:sz w:val="24"/>
          <w:szCs w:val="24"/>
        </w:rPr>
        <w:t>l presente documento</w:t>
      </w:r>
      <w:r w:rsidR="00E9265A">
        <w:rPr>
          <w:rFonts w:ascii="Times" w:hAnsi="Times" w:cs="Arial"/>
          <w:color w:val="595959" w:themeColor="text1" w:themeTint="A6"/>
          <w:sz w:val="24"/>
          <w:szCs w:val="24"/>
        </w:rPr>
        <w:t xml:space="preserve"> consolida las diferentes actividades </w:t>
      </w:r>
      <w:r>
        <w:rPr>
          <w:rFonts w:ascii="Times" w:hAnsi="Times" w:cs="Arial"/>
          <w:color w:val="595959" w:themeColor="text1" w:themeTint="A6"/>
          <w:sz w:val="24"/>
          <w:szCs w:val="24"/>
        </w:rPr>
        <w:t xml:space="preserve">que permitirán dar cumplimiento a las responsabilidades adquiridas dentro del </w:t>
      </w:r>
      <w:r w:rsidR="00387B1F" w:rsidRPr="009B306B">
        <w:rPr>
          <w:rFonts w:ascii="Times" w:hAnsi="Times" w:cs="Arial"/>
          <w:b/>
          <w:bCs/>
          <w:color w:val="595959" w:themeColor="text1" w:themeTint="A6"/>
          <w:sz w:val="24"/>
          <w:szCs w:val="24"/>
        </w:rPr>
        <w:t>Plan de Transparencia y Ética Pública</w:t>
      </w:r>
      <w:r w:rsidR="0064757B">
        <w:rPr>
          <w:rFonts w:ascii="Times" w:hAnsi="Times" w:cs="Arial"/>
          <w:b/>
          <w:bCs/>
          <w:color w:val="595959" w:themeColor="text1" w:themeTint="A6"/>
          <w:sz w:val="24"/>
          <w:szCs w:val="24"/>
        </w:rPr>
        <w:t>.</w:t>
      </w:r>
      <w:r w:rsidR="00387B1F">
        <w:rPr>
          <w:rFonts w:ascii="Times" w:hAnsi="Times" w:cs="Arial"/>
          <w:color w:val="595959" w:themeColor="text1" w:themeTint="A6"/>
          <w:sz w:val="24"/>
          <w:szCs w:val="24"/>
        </w:rPr>
        <w:t xml:space="preserve"> </w:t>
      </w:r>
    </w:p>
    <w:p w14:paraId="2B548BCE" w14:textId="5DCE9630" w:rsidR="002026D3" w:rsidRDefault="002026D3" w:rsidP="0038699E">
      <w:pPr>
        <w:jc w:val="both"/>
        <w:rPr>
          <w:rFonts w:ascii="Times" w:hAnsi="Times" w:cs="Arial"/>
          <w:color w:val="595959" w:themeColor="text1" w:themeTint="A6"/>
          <w:sz w:val="24"/>
          <w:szCs w:val="24"/>
        </w:rPr>
      </w:pPr>
      <w:r>
        <w:rPr>
          <w:rFonts w:ascii="Times" w:hAnsi="Times" w:cs="Arial"/>
          <w:color w:val="595959" w:themeColor="text1" w:themeTint="A6"/>
          <w:sz w:val="24"/>
          <w:szCs w:val="24"/>
        </w:rPr>
        <w:t xml:space="preserve">La siguiente es </w:t>
      </w:r>
      <w:r w:rsidR="00387B1F">
        <w:rPr>
          <w:rFonts w:ascii="Times" w:hAnsi="Times" w:cs="Arial"/>
          <w:color w:val="595959" w:themeColor="text1" w:themeTint="A6"/>
          <w:sz w:val="24"/>
          <w:szCs w:val="24"/>
        </w:rPr>
        <w:t>el cronograma de cumplimiento para el año 2023</w:t>
      </w:r>
      <w:r w:rsidR="003309AF">
        <w:rPr>
          <w:rFonts w:ascii="Times" w:hAnsi="Times" w:cs="Arial"/>
          <w:color w:val="595959" w:themeColor="text1" w:themeTint="A6"/>
          <w:sz w:val="24"/>
          <w:szCs w:val="24"/>
        </w:rPr>
        <w:t>, el cual se encuentra inmerso en el cronograma de la estrategia de datos abiertos al finalizar el presente documento</w:t>
      </w:r>
      <w:r w:rsidR="00387B1F">
        <w:rPr>
          <w:rFonts w:ascii="Times" w:hAnsi="Times" w:cs="Arial"/>
          <w:color w:val="595959" w:themeColor="text1" w:themeTint="A6"/>
          <w:sz w:val="24"/>
          <w:szCs w:val="24"/>
        </w:rPr>
        <w:t>:</w:t>
      </w:r>
    </w:p>
    <w:p w14:paraId="2B682796" w14:textId="3E936BA0" w:rsidR="001F2112" w:rsidRDefault="00FC258B" w:rsidP="0038699E">
      <w:pPr>
        <w:jc w:val="both"/>
        <w:rPr>
          <w:sz w:val="40"/>
          <w:szCs w:val="40"/>
        </w:rPr>
      </w:pPr>
      <w:r w:rsidRPr="00FC258B">
        <w:rPr>
          <w:noProof/>
        </w:rPr>
        <w:drawing>
          <wp:inline distT="0" distB="0" distL="0" distR="0" wp14:anchorId="2021A16D" wp14:editId="783A7783">
            <wp:extent cx="5612130" cy="297688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976880"/>
                    </a:xfrm>
                    <a:prstGeom prst="rect">
                      <a:avLst/>
                    </a:prstGeom>
                    <a:noFill/>
                    <a:ln>
                      <a:noFill/>
                    </a:ln>
                  </pic:spPr>
                </pic:pic>
              </a:graphicData>
            </a:graphic>
          </wp:inline>
        </w:drawing>
      </w:r>
    </w:p>
    <w:p w14:paraId="006BE4EB" w14:textId="77777777" w:rsidR="00524461" w:rsidRPr="00524461" w:rsidRDefault="00524461" w:rsidP="00524461">
      <w:pPr>
        <w:pStyle w:val="NoSpacing"/>
        <w:spacing w:after="240"/>
        <w:rPr>
          <w:rFonts w:asciiTheme="majorHAnsi" w:hAnsiTheme="majorHAnsi"/>
          <w:b/>
          <w:color w:val="4A442A" w:themeColor="background2" w:themeShade="40"/>
          <w:sz w:val="32"/>
          <w:szCs w:val="32"/>
        </w:rPr>
      </w:pPr>
    </w:p>
    <w:p w14:paraId="31978E48" w14:textId="77777777" w:rsidR="00524461" w:rsidRPr="00524461" w:rsidRDefault="00524461" w:rsidP="00524461">
      <w:pPr>
        <w:pStyle w:val="NoSpacing"/>
        <w:spacing w:after="240"/>
        <w:rPr>
          <w:rFonts w:asciiTheme="majorHAnsi" w:hAnsiTheme="majorHAnsi"/>
          <w:b/>
          <w:color w:val="4A442A" w:themeColor="background2" w:themeShade="40"/>
          <w:sz w:val="32"/>
          <w:szCs w:val="32"/>
        </w:rPr>
      </w:pPr>
    </w:p>
    <w:p w14:paraId="37C4C05B" w14:textId="77777777" w:rsidR="00524461" w:rsidRPr="00524461" w:rsidRDefault="00524461" w:rsidP="00524461">
      <w:pPr>
        <w:pStyle w:val="NoSpacing"/>
        <w:spacing w:after="240"/>
        <w:rPr>
          <w:rFonts w:asciiTheme="majorHAnsi" w:hAnsiTheme="majorHAnsi"/>
          <w:b/>
          <w:color w:val="4A442A" w:themeColor="background2" w:themeShade="40"/>
          <w:sz w:val="32"/>
          <w:szCs w:val="32"/>
        </w:rPr>
      </w:pPr>
    </w:p>
    <w:p w14:paraId="2E03AEA2" w14:textId="77777777" w:rsidR="00524461" w:rsidRPr="00524461" w:rsidRDefault="00524461" w:rsidP="00524461">
      <w:pPr>
        <w:pStyle w:val="NoSpacing"/>
        <w:spacing w:after="240"/>
        <w:rPr>
          <w:rFonts w:asciiTheme="majorHAnsi" w:hAnsiTheme="majorHAnsi"/>
          <w:b/>
          <w:color w:val="4A442A" w:themeColor="background2" w:themeShade="40"/>
          <w:sz w:val="32"/>
          <w:szCs w:val="32"/>
        </w:rPr>
      </w:pPr>
    </w:p>
    <w:p w14:paraId="21EC1670" w14:textId="77777777" w:rsidR="00524461" w:rsidRPr="00524461" w:rsidRDefault="00524461" w:rsidP="00524461">
      <w:pPr>
        <w:pStyle w:val="NoSpacing"/>
        <w:spacing w:after="240"/>
        <w:rPr>
          <w:rFonts w:asciiTheme="majorHAnsi" w:hAnsiTheme="majorHAnsi"/>
          <w:b/>
          <w:color w:val="4A442A" w:themeColor="background2" w:themeShade="40"/>
          <w:sz w:val="32"/>
          <w:szCs w:val="32"/>
        </w:rPr>
      </w:pPr>
    </w:p>
    <w:p w14:paraId="1D482AE1" w14:textId="79257849" w:rsidR="00C62E4F" w:rsidRPr="006F77F9" w:rsidRDefault="006742D6" w:rsidP="00842F9E">
      <w:pPr>
        <w:pStyle w:val="NoSpacing"/>
        <w:numPr>
          <w:ilvl w:val="0"/>
          <w:numId w:val="41"/>
        </w:numPr>
        <w:spacing w:after="240"/>
        <w:outlineLvl w:val="0"/>
        <w:rPr>
          <w:rFonts w:asciiTheme="majorHAnsi" w:hAnsiTheme="majorHAnsi"/>
          <w:b/>
          <w:color w:val="4A442A" w:themeColor="background2" w:themeShade="40"/>
          <w:sz w:val="32"/>
          <w:szCs w:val="32"/>
        </w:rPr>
      </w:pPr>
      <w:r>
        <w:rPr>
          <w:sz w:val="40"/>
          <w:szCs w:val="40"/>
        </w:rPr>
        <w:br w:type="page"/>
      </w:r>
      <w:bookmarkStart w:id="2" w:name="_Toc124321774"/>
      <w:r w:rsidR="00901ACB" w:rsidRPr="006F77F9">
        <w:rPr>
          <w:rFonts w:asciiTheme="majorHAnsi" w:hAnsiTheme="majorHAnsi"/>
          <w:b/>
          <w:color w:val="4A442A" w:themeColor="background2" w:themeShade="40"/>
          <w:sz w:val="32"/>
          <w:szCs w:val="32"/>
        </w:rPr>
        <w:lastRenderedPageBreak/>
        <w:t>Objetivo General</w:t>
      </w:r>
      <w:bookmarkEnd w:id="2"/>
    </w:p>
    <w:p w14:paraId="1CC3441F" w14:textId="664C580C" w:rsidR="00524461" w:rsidRDefault="00901ACB" w:rsidP="005A4768">
      <w:pPr>
        <w:jc w:val="both"/>
        <w:rPr>
          <w:rFonts w:ascii="Times" w:hAnsi="Times" w:cs="Arial"/>
          <w:color w:val="595959" w:themeColor="text1" w:themeTint="A6"/>
          <w:sz w:val="24"/>
          <w:szCs w:val="24"/>
        </w:rPr>
      </w:pPr>
      <w:r>
        <w:rPr>
          <w:rFonts w:ascii="Times" w:hAnsi="Times" w:cs="Arial"/>
          <w:color w:val="595959" w:themeColor="text1" w:themeTint="A6"/>
          <w:sz w:val="24"/>
          <w:szCs w:val="24"/>
        </w:rPr>
        <w:t xml:space="preserve">Establecer </w:t>
      </w:r>
      <w:r w:rsidR="004E167E">
        <w:rPr>
          <w:rFonts w:ascii="Times" w:hAnsi="Times" w:cs="Arial"/>
          <w:color w:val="595959" w:themeColor="text1" w:themeTint="A6"/>
          <w:sz w:val="24"/>
          <w:szCs w:val="24"/>
        </w:rPr>
        <w:t xml:space="preserve">una estrategia para la </w:t>
      </w:r>
      <w:r w:rsidR="00933F79">
        <w:rPr>
          <w:rFonts w:ascii="Times" w:hAnsi="Times" w:cs="Arial"/>
          <w:color w:val="595959" w:themeColor="text1" w:themeTint="A6"/>
          <w:sz w:val="24"/>
          <w:szCs w:val="24"/>
        </w:rPr>
        <w:t>apertura, mejora</w:t>
      </w:r>
      <w:r w:rsidR="004E167E">
        <w:rPr>
          <w:rFonts w:ascii="Times" w:hAnsi="Times" w:cs="Arial"/>
          <w:color w:val="595959" w:themeColor="text1" w:themeTint="A6"/>
          <w:sz w:val="24"/>
          <w:szCs w:val="24"/>
        </w:rPr>
        <w:t xml:space="preserve"> y uso de los datos abiertos de la SDHT en el año 202</w:t>
      </w:r>
      <w:r w:rsidR="000A3600">
        <w:rPr>
          <w:rFonts w:ascii="Times" w:hAnsi="Times" w:cs="Arial"/>
          <w:color w:val="595959" w:themeColor="text1" w:themeTint="A6"/>
          <w:sz w:val="24"/>
          <w:szCs w:val="24"/>
        </w:rPr>
        <w:t>3</w:t>
      </w:r>
      <w:r w:rsidR="004E167E">
        <w:rPr>
          <w:rFonts w:ascii="Times" w:hAnsi="Times" w:cs="Arial"/>
          <w:color w:val="595959" w:themeColor="text1" w:themeTint="A6"/>
          <w:sz w:val="24"/>
          <w:szCs w:val="24"/>
        </w:rPr>
        <w:t>.</w:t>
      </w:r>
    </w:p>
    <w:p w14:paraId="19DAA039" w14:textId="77777777" w:rsidR="00524461" w:rsidRDefault="00524461" w:rsidP="005A4768">
      <w:pPr>
        <w:jc w:val="both"/>
        <w:rPr>
          <w:rFonts w:ascii="Times" w:hAnsi="Times" w:cs="Arial"/>
          <w:color w:val="595959" w:themeColor="text1" w:themeTint="A6"/>
          <w:sz w:val="24"/>
          <w:szCs w:val="24"/>
        </w:rPr>
      </w:pPr>
    </w:p>
    <w:p w14:paraId="08FC9C6F" w14:textId="095822AF" w:rsidR="00901ACB" w:rsidRPr="00F22CC9" w:rsidRDefault="00901ACB" w:rsidP="00842F9E">
      <w:pPr>
        <w:pStyle w:val="NoSpacing"/>
        <w:numPr>
          <w:ilvl w:val="0"/>
          <w:numId w:val="41"/>
        </w:numPr>
        <w:spacing w:after="240"/>
        <w:outlineLvl w:val="0"/>
        <w:rPr>
          <w:rFonts w:asciiTheme="majorHAnsi" w:hAnsiTheme="majorHAnsi"/>
          <w:b/>
          <w:color w:val="4A442A" w:themeColor="background2" w:themeShade="40"/>
          <w:sz w:val="32"/>
          <w:szCs w:val="32"/>
        </w:rPr>
      </w:pPr>
      <w:bookmarkStart w:id="3" w:name="_Toc124321775"/>
      <w:r w:rsidRPr="00F22CC9">
        <w:rPr>
          <w:rFonts w:asciiTheme="majorHAnsi" w:hAnsiTheme="majorHAnsi"/>
          <w:b/>
          <w:color w:val="4A442A" w:themeColor="background2" w:themeShade="40"/>
          <w:sz w:val="32"/>
          <w:szCs w:val="32"/>
        </w:rPr>
        <w:t>Objetivos específicos</w:t>
      </w:r>
      <w:bookmarkEnd w:id="3"/>
    </w:p>
    <w:p w14:paraId="393913A4" w14:textId="00C59605" w:rsidR="00F11C8C" w:rsidRPr="00B7242B" w:rsidRDefault="00CF211B" w:rsidP="00B7242B">
      <w:pPr>
        <w:pStyle w:val="ListParagraph"/>
        <w:numPr>
          <w:ilvl w:val="0"/>
          <w:numId w:val="35"/>
        </w:numPr>
        <w:spacing w:after="0"/>
        <w:ind w:left="360"/>
        <w:jc w:val="both"/>
        <w:rPr>
          <w:rFonts w:ascii="Times" w:hAnsi="Times" w:cs="Arial"/>
          <w:color w:val="595959" w:themeColor="text1" w:themeTint="A6"/>
          <w:sz w:val="24"/>
          <w:szCs w:val="24"/>
        </w:rPr>
      </w:pPr>
      <w:r w:rsidRPr="00B7242B">
        <w:rPr>
          <w:rFonts w:ascii="Times" w:hAnsi="Times" w:cs="Arial"/>
          <w:color w:val="595959" w:themeColor="text1" w:themeTint="A6"/>
          <w:sz w:val="24"/>
          <w:szCs w:val="24"/>
        </w:rPr>
        <w:t xml:space="preserve">Generar información </w:t>
      </w:r>
      <w:r w:rsidR="002D71A7" w:rsidRPr="00B7242B">
        <w:rPr>
          <w:rFonts w:ascii="Times" w:hAnsi="Times" w:cs="Arial"/>
          <w:color w:val="595959" w:themeColor="text1" w:themeTint="A6"/>
          <w:sz w:val="24"/>
          <w:szCs w:val="24"/>
        </w:rPr>
        <w:t xml:space="preserve">con </w:t>
      </w:r>
      <w:r w:rsidR="002D71A7" w:rsidRPr="00B7242B">
        <w:rPr>
          <w:rFonts w:ascii="Times" w:hAnsi="Times" w:cs="Arial"/>
          <w:b/>
          <w:bCs/>
          <w:color w:val="595959" w:themeColor="text1" w:themeTint="A6"/>
          <w:sz w:val="24"/>
          <w:szCs w:val="24"/>
        </w:rPr>
        <w:t>propósito</w:t>
      </w:r>
      <w:r w:rsidR="002D71A7" w:rsidRPr="00B7242B">
        <w:rPr>
          <w:rFonts w:ascii="Times" w:hAnsi="Times" w:cs="Arial"/>
          <w:color w:val="595959" w:themeColor="text1" w:themeTint="A6"/>
          <w:sz w:val="24"/>
          <w:szCs w:val="24"/>
        </w:rPr>
        <w:t xml:space="preserve">, </w:t>
      </w:r>
      <w:r w:rsidRPr="00B7242B">
        <w:rPr>
          <w:rFonts w:ascii="Times" w:hAnsi="Times" w:cs="Arial"/>
          <w:color w:val="595959" w:themeColor="text1" w:themeTint="A6"/>
          <w:sz w:val="24"/>
          <w:szCs w:val="24"/>
        </w:rPr>
        <w:t>confiable, oportuna y de interés para la ciudadanía, l</w:t>
      </w:r>
      <w:r w:rsidR="00794727" w:rsidRPr="00B7242B">
        <w:rPr>
          <w:rFonts w:ascii="Times" w:hAnsi="Times" w:cs="Arial"/>
          <w:color w:val="595959" w:themeColor="text1" w:themeTint="A6"/>
          <w:sz w:val="24"/>
          <w:szCs w:val="24"/>
        </w:rPr>
        <w:t>a</w:t>
      </w:r>
      <w:r w:rsidRPr="00B7242B">
        <w:rPr>
          <w:rFonts w:ascii="Times" w:hAnsi="Times" w:cs="Arial"/>
          <w:color w:val="595959" w:themeColor="text1" w:themeTint="A6"/>
          <w:sz w:val="24"/>
          <w:szCs w:val="24"/>
        </w:rPr>
        <w:t xml:space="preserve"> cual permita afianzar la credibilidad</w:t>
      </w:r>
      <w:r w:rsidR="002D71A7" w:rsidRPr="00B7242B">
        <w:rPr>
          <w:rFonts w:ascii="Times" w:hAnsi="Times" w:cs="Arial"/>
          <w:color w:val="595959" w:themeColor="text1" w:themeTint="A6"/>
          <w:sz w:val="24"/>
          <w:szCs w:val="24"/>
        </w:rPr>
        <w:t>,</w:t>
      </w:r>
      <w:r w:rsidRPr="00B7242B">
        <w:rPr>
          <w:rFonts w:ascii="Times" w:hAnsi="Times" w:cs="Arial"/>
          <w:color w:val="595959" w:themeColor="text1" w:themeTint="A6"/>
          <w:sz w:val="24"/>
          <w:szCs w:val="24"/>
        </w:rPr>
        <w:t xml:space="preserve"> participación </w:t>
      </w:r>
      <w:r w:rsidR="002D71A7" w:rsidRPr="00B7242B">
        <w:rPr>
          <w:rFonts w:ascii="Times" w:hAnsi="Times" w:cs="Arial"/>
          <w:color w:val="595959" w:themeColor="text1" w:themeTint="A6"/>
          <w:sz w:val="24"/>
          <w:szCs w:val="24"/>
        </w:rPr>
        <w:t xml:space="preserve">y su </w:t>
      </w:r>
      <w:r w:rsidR="002D71A7" w:rsidRPr="00B7242B">
        <w:rPr>
          <w:rFonts w:ascii="Times" w:hAnsi="Times" w:cs="Arial"/>
          <w:b/>
          <w:bCs/>
          <w:color w:val="595959" w:themeColor="text1" w:themeTint="A6"/>
          <w:sz w:val="24"/>
          <w:szCs w:val="24"/>
        </w:rPr>
        <w:t>aprovechamiento</w:t>
      </w:r>
      <w:r w:rsidR="002D71A7" w:rsidRPr="00B7242B">
        <w:rPr>
          <w:rFonts w:ascii="Times" w:hAnsi="Times" w:cs="Arial"/>
          <w:color w:val="595959" w:themeColor="text1" w:themeTint="A6"/>
          <w:sz w:val="24"/>
          <w:szCs w:val="24"/>
        </w:rPr>
        <w:t xml:space="preserve"> por parte de la </w:t>
      </w:r>
      <w:r w:rsidRPr="00B7242B">
        <w:rPr>
          <w:rFonts w:ascii="Times" w:hAnsi="Times" w:cs="Arial"/>
          <w:color w:val="595959" w:themeColor="text1" w:themeTint="A6"/>
          <w:sz w:val="24"/>
          <w:szCs w:val="24"/>
        </w:rPr>
        <w:t>ciudadana en la toma de decisiones de la administración distrital.</w:t>
      </w:r>
    </w:p>
    <w:p w14:paraId="5631228C" w14:textId="77777777" w:rsidR="00F11C8C" w:rsidRPr="00F11C8C" w:rsidRDefault="00F11C8C" w:rsidP="00B7242B">
      <w:pPr>
        <w:spacing w:after="0"/>
        <w:jc w:val="both"/>
        <w:rPr>
          <w:rFonts w:ascii="Times" w:hAnsi="Times" w:cs="Arial"/>
          <w:color w:val="595959" w:themeColor="text1" w:themeTint="A6"/>
          <w:sz w:val="24"/>
          <w:szCs w:val="24"/>
        </w:rPr>
      </w:pPr>
    </w:p>
    <w:p w14:paraId="568C0B70" w14:textId="3F741840" w:rsidR="00CF211B" w:rsidRPr="00B7242B" w:rsidRDefault="00F11C8C" w:rsidP="00B7242B">
      <w:pPr>
        <w:pStyle w:val="ListParagraph"/>
        <w:numPr>
          <w:ilvl w:val="0"/>
          <w:numId w:val="35"/>
        </w:numPr>
        <w:ind w:left="360"/>
        <w:jc w:val="both"/>
        <w:rPr>
          <w:rFonts w:ascii="Times" w:hAnsi="Times" w:cs="Arial"/>
          <w:color w:val="595959" w:themeColor="text1" w:themeTint="A6"/>
          <w:sz w:val="24"/>
          <w:szCs w:val="24"/>
        </w:rPr>
      </w:pPr>
      <w:r w:rsidRPr="00B7242B">
        <w:rPr>
          <w:rFonts w:ascii="Times" w:hAnsi="Times" w:cs="Arial"/>
          <w:b/>
          <w:bCs/>
          <w:color w:val="595959" w:themeColor="text1" w:themeTint="A6"/>
          <w:sz w:val="24"/>
          <w:szCs w:val="24"/>
        </w:rPr>
        <w:t>Crear valor</w:t>
      </w:r>
      <w:r w:rsidRPr="00B7242B">
        <w:rPr>
          <w:rFonts w:ascii="Times" w:hAnsi="Times" w:cs="Arial"/>
          <w:color w:val="595959" w:themeColor="text1" w:themeTint="A6"/>
          <w:sz w:val="24"/>
          <w:szCs w:val="24"/>
        </w:rPr>
        <w:t xml:space="preserve"> agregado a partir de los conjuntos de datos abiertos expuestos por la SDHT.</w:t>
      </w:r>
    </w:p>
    <w:p w14:paraId="4DF2BE79" w14:textId="77777777" w:rsidR="00F11C8C" w:rsidRPr="00F11C8C" w:rsidRDefault="00F11C8C" w:rsidP="00B7242B">
      <w:pPr>
        <w:pStyle w:val="ListParagraph"/>
        <w:ind w:left="360"/>
        <w:rPr>
          <w:rFonts w:ascii="Times" w:hAnsi="Times" w:cs="Arial"/>
          <w:color w:val="595959" w:themeColor="text1" w:themeTint="A6"/>
          <w:sz w:val="24"/>
          <w:szCs w:val="24"/>
        </w:rPr>
      </w:pPr>
    </w:p>
    <w:p w14:paraId="47D83EEC" w14:textId="734178B4" w:rsidR="00F11C8C" w:rsidRDefault="0064757B" w:rsidP="00B7242B">
      <w:pPr>
        <w:pStyle w:val="ListParagraph"/>
        <w:numPr>
          <w:ilvl w:val="0"/>
          <w:numId w:val="35"/>
        </w:numPr>
        <w:ind w:left="360"/>
        <w:jc w:val="both"/>
        <w:rPr>
          <w:rFonts w:ascii="Times" w:hAnsi="Times" w:cs="Arial"/>
          <w:color w:val="595959" w:themeColor="text1" w:themeTint="A6"/>
          <w:sz w:val="24"/>
          <w:szCs w:val="24"/>
        </w:rPr>
      </w:pPr>
      <w:r w:rsidRPr="00B7242B">
        <w:rPr>
          <w:rFonts w:ascii="Times" w:hAnsi="Times" w:cs="Arial"/>
          <w:color w:val="595959" w:themeColor="text1" w:themeTint="A6"/>
          <w:sz w:val="24"/>
          <w:szCs w:val="24"/>
        </w:rPr>
        <w:t xml:space="preserve">Dar cumplimiento al componente 5 del </w:t>
      </w:r>
      <w:r w:rsidRPr="00B7242B">
        <w:rPr>
          <w:rFonts w:ascii="Times" w:hAnsi="Times" w:cs="Arial"/>
          <w:b/>
          <w:bCs/>
          <w:color w:val="595959" w:themeColor="text1" w:themeTint="A6"/>
          <w:sz w:val="24"/>
          <w:szCs w:val="24"/>
        </w:rPr>
        <w:t>Plan de Transparencia y Ética Pública</w:t>
      </w:r>
      <w:r w:rsidRPr="00B7242B">
        <w:rPr>
          <w:rFonts w:ascii="Times" w:hAnsi="Times" w:cs="Arial"/>
          <w:color w:val="595959" w:themeColor="text1" w:themeTint="A6"/>
          <w:sz w:val="24"/>
          <w:szCs w:val="24"/>
        </w:rPr>
        <w:t xml:space="preserve"> de apertura de información y datos abiertos.</w:t>
      </w:r>
    </w:p>
    <w:p w14:paraId="441FA012" w14:textId="4873B107" w:rsidR="00524461" w:rsidRDefault="00524461" w:rsidP="00524461">
      <w:pPr>
        <w:pStyle w:val="ListParagraph"/>
        <w:rPr>
          <w:rFonts w:ascii="Times" w:hAnsi="Times" w:cs="Arial"/>
          <w:color w:val="595959" w:themeColor="text1" w:themeTint="A6"/>
          <w:sz w:val="24"/>
          <w:szCs w:val="24"/>
        </w:rPr>
      </w:pPr>
    </w:p>
    <w:p w14:paraId="59D7D365" w14:textId="6FC3F546" w:rsidR="001924AE" w:rsidRPr="00F22CC9" w:rsidRDefault="001924AE" w:rsidP="00842F9E">
      <w:pPr>
        <w:pStyle w:val="NoSpacing"/>
        <w:numPr>
          <w:ilvl w:val="0"/>
          <w:numId w:val="41"/>
        </w:numPr>
        <w:spacing w:after="240"/>
        <w:outlineLvl w:val="0"/>
        <w:rPr>
          <w:rFonts w:asciiTheme="majorHAnsi" w:hAnsiTheme="majorHAnsi"/>
          <w:b/>
          <w:color w:val="4A442A" w:themeColor="background2" w:themeShade="40"/>
          <w:sz w:val="32"/>
          <w:szCs w:val="32"/>
        </w:rPr>
      </w:pPr>
      <w:bookmarkStart w:id="4" w:name="_Toc124321776"/>
      <w:r>
        <w:rPr>
          <w:rFonts w:asciiTheme="majorHAnsi" w:hAnsiTheme="majorHAnsi"/>
          <w:b/>
          <w:color w:val="4A442A" w:themeColor="background2" w:themeShade="40"/>
          <w:sz w:val="32"/>
          <w:szCs w:val="32"/>
        </w:rPr>
        <w:t>Marco normativo</w:t>
      </w:r>
      <w:bookmarkEnd w:id="4"/>
    </w:p>
    <w:p w14:paraId="2688BC5F" w14:textId="77777777" w:rsidR="001924AE" w:rsidRDefault="001924AE" w:rsidP="001924AE">
      <w:pPr>
        <w:pStyle w:val="Default"/>
        <w:numPr>
          <w:ilvl w:val="0"/>
          <w:numId w:val="38"/>
        </w:numPr>
        <w:spacing w:after="240" w:line="276" w:lineRule="auto"/>
        <w:jc w:val="both"/>
        <w:rPr>
          <w:rFonts w:ascii="Times" w:hAnsi="Times" w:cs="Arial"/>
          <w:color w:val="595959" w:themeColor="text1" w:themeTint="A6"/>
        </w:rPr>
      </w:pPr>
      <w:r w:rsidRPr="001924AE">
        <w:rPr>
          <w:rFonts w:ascii="Times" w:hAnsi="Times" w:cs="Arial"/>
          <w:color w:val="595959" w:themeColor="text1" w:themeTint="A6"/>
        </w:rPr>
        <w:t xml:space="preserve">Constitución Política de Colombia de 1991 Art.23 “el derecho de petición permite a las personas acceder en forma oportuna a la información y documentos públicos. Obliga a la entidad a facilitar la información y el acceso a los documentos que no son de reserva legal” 74 “Derecho de las personas y organizaciones a acceder a documentos públicos” 209 “Obligación de cumplir con el principio de publicidad de la administración –dejar ver los públicos”. </w:t>
      </w:r>
    </w:p>
    <w:p w14:paraId="70B90FBC" w14:textId="77777777" w:rsidR="001924AE" w:rsidRDefault="001924AE" w:rsidP="001924AE">
      <w:pPr>
        <w:pStyle w:val="Default"/>
        <w:numPr>
          <w:ilvl w:val="0"/>
          <w:numId w:val="38"/>
        </w:numPr>
        <w:spacing w:after="240" w:line="276" w:lineRule="auto"/>
        <w:jc w:val="both"/>
        <w:rPr>
          <w:rFonts w:ascii="Times" w:hAnsi="Times" w:cs="Arial"/>
          <w:color w:val="595959" w:themeColor="text1" w:themeTint="A6"/>
        </w:rPr>
      </w:pPr>
      <w:r w:rsidRPr="001924AE">
        <w:rPr>
          <w:rFonts w:ascii="Times" w:hAnsi="Times" w:cs="Arial"/>
          <w:color w:val="595959" w:themeColor="text1" w:themeTint="A6"/>
        </w:rPr>
        <w:t xml:space="preserve">Ley Nacional 1712 de 2014 Por medio de la cual se crea la Ley de Transparencia y del derecho de acceso a la información pública nacional. </w:t>
      </w:r>
    </w:p>
    <w:p w14:paraId="68A09BCC" w14:textId="77777777" w:rsidR="001924AE" w:rsidRDefault="001924AE" w:rsidP="001924AE">
      <w:pPr>
        <w:pStyle w:val="Default"/>
        <w:numPr>
          <w:ilvl w:val="0"/>
          <w:numId w:val="38"/>
        </w:numPr>
        <w:spacing w:after="240" w:line="276" w:lineRule="auto"/>
        <w:jc w:val="both"/>
        <w:rPr>
          <w:rFonts w:ascii="Times" w:hAnsi="Times" w:cs="Arial"/>
          <w:color w:val="595959" w:themeColor="text1" w:themeTint="A6"/>
        </w:rPr>
      </w:pPr>
      <w:r w:rsidRPr="001924AE">
        <w:rPr>
          <w:rFonts w:ascii="Times" w:hAnsi="Times" w:cs="Arial"/>
          <w:color w:val="595959" w:themeColor="text1" w:themeTint="A6"/>
        </w:rPr>
        <w:t xml:space="preserve">Decreto 1499 de 2017 Por medio del cual se modifica el Decreto 1083 de 2015, Decreto Único Reglamentario del Sector Función Pública, en lo relacionado con el Sistema de Gestión establecido en el artículo 133 de la Ley 1753 de 2015 </w:t>
      </w:r>
    </w:p>
    <w:p w14:paraId="4E5B34A8" w14:textId="77777777" w:rsidR="001924AE" w:rsidRDefault="001924AE" w:rsidP="001924AE">
      <w:pPr>
        <w:pStyle w:val="Default"/>
        <w:numPr>
          <w:ilvl w:val="0"/>
          <w:numId w:val="38"/>
        </w:numPr>
        <w:spacing w:after="240" w:line="276" w:lineRule="auto"/>
        <w:jc w:val="both"/>
        <w:rPr>
          <w:rFonts w:ascii="Times" w:hAnsi="Times" w:cs="Arial"/>
          <w:color w:val="595959" w:themeColor="text1" w:themeTint="A6"/>
        </w:rPr>
      </w:pPr>
      <w:r w:rsidRPr="001924AE">
        <w:rPr>
          <w:rFonts w:ascii="Times" w:hAnsi="Times" w:cs="Arial"/>
          <w:color w:val="595959" w:themeColor="text1" w:themeTint="A6"/>
        </w:rPr>
        <w:t>Decreto 103 de 2015 Por el cual se reglamenta parcialmente la Ley 1712 de 2014 y se dictan otras disposiciones.</w:t>
      </w:r>
    </w:p>
    <w:p w14:paraId="4632640B" w14:textId="77777777" w:rsidR="001924AE" w:rsidRDefault="001924AE" w:rsidP="001924AE">
      <w:pPr>
        <w:pStyle w:val="Default"/>
        <w:numPr>
          <w:ilvl w:val="0"/>
          <w:numId w:val="38"/>
        </w:numPr>
        <w:spacing w:after="240" w:line="276" w:lineRule="auto"/>
        <w:jc w:val="both"/>
        <w:rPr>
          <w:rFonts w:ascii="Times" w:hAnsi="Times" w:cs="Arial"/>
          <w:color w:val="595959" w:themeColor="text1" w:themeTint="A6"/>
        </w:rPr>
      </w:pPr>
      <w:r w:rsidRPr="001924AE">
        <w:rPr>
          <w:rFonts w:ascii="Times" w:hAnsi="Times" w:cs="Arial"/>
          <w:color w:val="595959" w:themeColor="text1" w:themeTint="A6"/>
        </w:rPr>
        <w:t xml:space="preserve">Decreto Nacional 1078 de 2015 Por medio del cual se expide el Decreto Único Reglamentario del Sector de Tecnologías de la Información y las Comunicaciones. Se establecen los lineamientos de la Estrategia de Gobierno en línea, se reglamenta parcialmente la Ley 1341 de 2009 y se dictan otras disposiciones. </w:t>
      </w:r>
    </w:p>
    <w:p w14:paraId="02E093BB" w14:textId="77777777" w:rsidR="001924AE" w:rsidRDefault="001924AE" w:rsidP="001924AE">
      <w:pPr>
        <w:pStyle w:val="Default"/>
        <w:numPr>
          <w:ilvl w:val="0"/>
          <w:numId w:val="38"/>
        </w:numPr>
        <w:spacing w:after="240" w:line="276" w:lineRule="auto"/>
        <w:jc w:val="both"/>
        <w:rPr>
          <w:rFonts w:ascii="Times" w:hAnsi="Times" w:cs="Arial"/>
          <w:color w:val="595959" w:themeColor="text1" w:themeTint="A6"/>
        </w:rPr>
      </w:pPr>
      <w:r w:rsidRPr="001924AE">
        <w:rPr>
          <w:rFonts w:ascii="Times" w:hAnsi="Times" w:cs="Arial"/>
          <w:color w:val="595959" w:themeColor="text1" w:themeTint="A6"/>
        </w:rPr>
        <w:lastRenderedPageBreak/>
        <w:t xml:space="preserve">Resolución 3564 de 2015 Por el cual se reglamenta los estándares de publicación y divulgación de la información </w:t>
      </w:r>
    </w:p>
    <w:p w14:paraId="3EA0002F" w14:textId="77777777" w:rsidR="001924AE" w:rsidRDefault="001924AE" w:rsidP="001924AE">
      <w:pPr>
        <w:pStyle w:val="Default"/>
        <w:numPr>
          <w:ilvl w:val="0"/>
          <w:numId w:val="38"/>
        </w:numPr>
        <w:spacing w:after="240" w:line="276" w:lineRule="auto"/>
        <w:jc w:val="both"/>
        <w:rPr>
          <w:rFonts w:ascii="Times" w:hAnsi="Times" w:cs="Arial"/>
          <w:color w:val="595959" w:themeColor="text1" w:themeTint="A6"/>
        </w:rPr>
      </w:pPr>
      <w:r w:rsidRPr="001924AE">
        <w:rPr>
          <w:rFonts w:ascii="Times" w:hAnsi="Times" w:cs="Arial"/>
          <w:color w:val="595959" w:themeColor="text1" w:themeTint="A6"/>
        </w:rPr>
        <w:t xml:space="preserve">Decreto Nacional 1081 de 2015 Por medio del cual se expide el Decreto Reglamentario Único del Sector Presidencia de la República </w:t>
      </w:r>
    </w:p>
    <w:p w14:paraId="2FFBC107" w14:textId="77777777" w:rsidR="001924AE" w:rsidRDefault="001924AE" w:rsidP="001924AE">
      <w:pPr>
        <w:pStyle w:val="Default"/>
        <w:numPr>
          <w:ilvl w:val="0"/>
          <w:numId w:val="38"/>
        </w:numPr>
        <w:spacing w:after="240" w:line="276" w:lineRule="auto"/>
        <w:jc w:val="both"/>
        <w:rPr>
          <w:rFonts w:ascii="Times" w:hAnsi="Times" w:cs="Arial"/>
          <w:color w:val="595959" w:themeColor="text1" w:themeTint="A6"/>
        </w:rPr>
      </w:pPr>
      <w:r w:rsidRPr="001924AE">
        <w:rPr>
          <w:rFonts w:ascii="Times" w:hAnsi="Times" w:cs="Arial"/>
          <w:color w:val="595959" w:themeColor="text1" w:themeTint="A6"/>
        </w:rPr>
        <w:t xml:space="preserve">Resolución 1519 de 2020 Por la cual se definen los estándares y directrices para publicar la información señalada en la Ley 1712 del 2014 y se definen los requisitos materia de acceso a la información pública, accesibilidad web, seguridad digital, y datos abiertos </w:t>
      </w:r>
    </w:p>
    <w:p w14:paraId="32D33595" w14:textId="1B33DEEC" w:rsidR="001924AE" w:rsidRPr="001924AE" w:rsidRDefault="001924AE" w:rsidP="001924AE">
      <w:pPr>
        <w:pStyle w:val="Default"/>
        <w:numPr>
          <w:ilvl w:val="0"/>
          <w:numId w:val="38"/>
        </w:numPr>
        <w:spacing w:after="240" w:line="276" w:lineRule="auto"/>
        <w:jc w:val="both"/>
        <w:rPr>
          <w:rFonts w:ascii="Times" w:hAnsi="Times" w:cs="Arial"/>
          <w:color w:val="595959" w:themeColor="text1" w:themeTint="A6"/>
        </w:rPr>
      </w:pPr>
      <w:r w:rsidRPr="001924AE">
        <w:rPr>
          <w:rFonts w:ascii="Times" w:hAnsi="Times" w:cs="Arial"/>
          <w:color w:val="595959" w:themeColor="text1" w:themeTint="A6"/>
        </w:rPr>
        <w:t>Resolución 0080 de 2020 Por la cual se definen lineamientos y criterios para la gestión de los datos dispuestos en la Infraestructura de Datos Espaciales para el Distrito Capital (IDECA).</w:t>
      </w:r>
    </w:p>
    <w:p w14:paraId="195B2CF1" w14:textId="6202242C" w:rsidR="001924AE" w:rsidRDefault="001924AE" w:rsidP="00524461">
      <w:pPr>
        <w:pStyle w:val="ListParagraph"/>
        <w:rPr>
          <w:rFonts w:ascii="Times" w:hAnsi="Times" w:cs="Arial"/>
          <w:color w:val="595959" w:themeColor="text1" w:themeTint="A6"/>
          <w:sz w:val="24"/>
          <w:szCs w:val="24"/>
        </w:rPr>
      </w:pPr>
    </w:p>
    <w:p w14:paraId="070EAA49" w14:textId="2FD9EADC" w:rsidR="00AD6AFC" w:rsidRPr="00361C2C" w:rsidRDefault="00361C2C" w:rsidP="00842F9E">
      <w:pPr>
        <w:pStyle w:val="NoSpacing"/>
        <w:numPr>
          <w:ilvl w:val="0"/>
          <w:numId w:val="41"/>
        </w:numPr>
        <w:spacing w:after="240"/>
        <w:outlineLvl w:val="0"/>
        <w:rPr>
          <w:rFonts w:asciiTheme="majorHAnsi" w:hAnsiTheme="majorHAnsi"/>
          <w:b/>
          <w:color w:val="4A442A" w:themeColor="background2" w:themeShade="40"/>
          <w:sz w:val="36"/>
          <w:szCs w:val="36"/>
        </w:rPr>
      </w:pPr>
      <w:bookmarkStart w:id="5" w:name="_Toc124321777"/>
      <w:r>
        <w:rPr>
          <w:rFonts w:asciiTheme="majorHAnsi" w:hAnsiTheme="majorHAnsi"/>
          <w:b/>
          <w:color w:val="4A442A" w:themeColor="background2" w:themeShade="40"/>
          <w:sz w:val="32"/>
          <w:szCs w:val="32"/>
        </w:rPr>
        <w:t>Estrategia de datos abiertos de la SDHT</w:t>
      </w:r>
      <w:bookmarkEnd w:id="5"/>
    </w:p>
    <w:p w14:paraId="31C515FC" w14:textId="491DB7EB" w:rsidR="00361C2C" w:rsidRDefault="00361C2C" w:rsidP="00AD6AFC">
      <w:pPr>
        <w:pStyle w:val="Default"/>
        <w:jc w:val="both"/>
        <w:rPr>
          <w:rFonts w:ascii="Times" w:hAnsi="Times" w:cs="Arial"/>
          <w:color w:val="595959" w:themeColor="text1" w:themeTint="A6"/>
        </w:rPr>
      </w:pPr>
      <w:r>
        <w:rPr>
          <w:rFonts w:ascii="Times" w:hAnsi="Times" w:cs="Arial"/>
          <w:color w:val="595959" w:themeColor="text1" w:themeTint="A6"/>
        </w:rPr>
        <w:t>Dadas las diferentes etapas que ha surtido la estrategia de datos abiertos en la entidad, el cual abarca desde el diagnóstico realizado en el año 2016, pasando por la construcción de un procedimiento de publicación de datos abiertos de la entidad, un mapa de ruta, la publicación y actualización de los diferentes conjuntos de datos identificados hasta la construcción de un  p</w:t>
      </w:r>
      <w:r w:rsidRPr="00361C2C">
        <w:rPr>
          <w:rFonts w:ascii="Times" w:hAnsi="Times" w:cs="Arial"/>
          <w:color w:val="595959" w:themeColor="text1" w:themeTint="A6"/>
        </w:rPr>
        <w:t>lan de apertura mejora y uso de datos abiertos</w:t>
      </w:r>
      <w:r>
        <w:rPr>
          <w:rFonts w:ascii="Times" w:hAnsi="Times" w:cs="Arial"/>
          <w:color w:val="595959" w:themeColor="text1" w:themeTint="A6"/>
        </w:rPr>
        <w:t>, la SDHT ha trabajado activamente en la consolidación de este mecanismo que permite ofrecer información a la ciudadanía que a su vez hace una administración pública visible y con la participación permanente de sus grupos de interés.</w:t>
      </w:r>
    </w:p>
    <w:p w14:paraId="435BA818" w14:textId="2E4C72FE" w:rsidR="00361C2C" w:rsidRDefault="00361C2C" w:rsidP="00AD6AFC">
      <w:pPr>
        <w:pStyle w:val="Default"/>
        <w:jc w:val="both"/>
        <w:rPr>
          <w:rFonts w:ascii="Times" w:hAnsi="Times" w:cs="Arial"/>
          <w:color w:val="595959" w:themeColor="text1" w:themeTint="A6"/>
        </w:rPr>
      </w:pPr>
    </w:p>
    <w:p w14:paraId="6EE4A88F" w14:textId="06A98335" w:rsidR="00CB2E3E" w:rsidRDefault="006D15A6" w:rsidP="00B7242B">
      <w:pPr>
        <w:pStyle w:val="Default"/>
        <w:jc w:val="both"/>
        <w:rPr>
          <w:rFonts w:ascii="Times" w:hAnsi="Times" w:cs="Arial"/>
          <w:color w:val="595959" w:themeColor="text1" w:themeTint="A6"/>
        </w:rPr>
      </w:pPr>
      <w:r>
        <w:rPr>
          <w:rFonts w:ascii="Times" w:hAnsi="Times" w:cs="Arial"/>
          <w:color w:val="595959" w:themeColor="text1" w:themeTint="A6"/>
        </w:rPr>
        <w:t>La</w:t>
      </w:r>
      <w:r w:rsidR="001829C7" w:rsidRPr="001829C7">
        <w:rPr>
          <w:rFonts w:ascii="Times" w:hAnsi="Times" w:cs="Arial"/>
          <w:color w:val="595959" w:themeColor="text1" w:themeTint="A6"/>
        </w:rPr>
        <w:t xml:space="preserve"> SDHT publica sus conjuntos de datos abiertos en el portal de l</w:t>
      </w:r>
      <w:r w:rsidR="002359C9" w:rsidRPr="001829C7">
        <w:rPr>
          <w:rFonts w:ascii="Times" w:hAnsi="Times" w:cs="Arial"/>
          <w:color w:val="595959" w:themeColor="text1" w:themeTint="A6"/>
        </w:rPr>
        <w:t xml:space="preserve">a Ciudad de Bogotá </w:t>
      </w:r>
      <w:hyperlink r:id="rId9" w:history="1">
        <w:r w:rsidR="002359C9" w:rsidRPr="001829C7">
          <w:rPr>
            <w:rFonts w:ascii="Times" w:hAnsi="Times" w:cs="Arial"/>
            <w:color w:val="595959" w:themeColor="text1" w:themeTint="A6"/>
          </w:rPr>
          <w:t>https://datosabiertos.bogota.gov.co/</w:t>
        </w:r>
      </w:hyperlink>
      <w:r w:rsidR="002359C9" w:rsidRPr="001829C7">
        <w:rPr>
          <w:rFonts w:ascii="Times" w:hAnsi="Times" w:cs="Arial"/>
          <w:color w:val="595959" w:themeColor="text1" w:themeTint="A6"/>
        </w:rPr>
        <w:t xml:space="preserve">, </w:t>
      </w:r>
      <w:r w:rsidR="00CB2E3E" w:rsidRPr="001829C7">
        <w:rPr>
          <w:rFonts w:ascii="Times" w:hAnsi="Times" w:cs="Arial"/>
          <w:color w:val="595959" w:themeColor="text1" w:themeTint="A6"/>
        </w:rPr>
        <w:t>portal que publica los datos abiertos de las entidades distritales, los cuales son federados hacía el portal de la nación</w:t>
      </w:r>
      <w:r w:rsidR="00D12A97">
        <w:rPr>
          <w:rFonts w:ascii="Times" w:hAnsi="Times" w:cs="Arial"/>
          <w:color w:val="595959" w:themeColor="text1" w:themeTint="A6"/>
        </w:rPr>
        <w:t xml:space="preserve">, </w:t>
      </w:r>
      <w:r w:rsidR="00CB2E3E">
        <w:rPr>
          <w:rFonts w:ascii="Times" w:hAnsi="Times" w:cs="Arial"/>
          <w:color w:val="595959" w:themeColor="text1" w:themeTint="A6"/>
        </w:rPr>
        <w:t>logra</w:t>
      </w:r>
      <w:r w:rsidR="00D12A97">
        <w:rPr>
          <w:rFonts w:ascii="Times" w:hAnsi="Times" w:cs="Arial"/>
          <w:color w:val="595959" w:themeColor="text1" w:themeTint="A6"/>
        </w:rPr>
        <w:t>ndo con ello</w:t>
      </w:r>
      <w:r w:rsidR="00CB2E3E">
        <w:rPr>
          <w:rFonts w:ascii="Times" w:hAnsi="Times" w:cs="Arial"/>
          <w:color w:val="595959" w:themeColor="text1" w:themeTint="A6"/>
        </w:rPr>
        <w:t xml:space="preserve"> que las publicaciones realizadas en el portal del distrito puedan ser </w:t>
      </w:r>
      <w:r w:rsidR="00CB3093">
        <w:rPr>
          <w:rFonts w:ascii="Times" w:hAnsi="Times" w:cs="Arial"/>
          <w:color w:val="595959" w:themeColor="text1" w:themeTint="A6"/>
        </w:rPr>
        <w:t>federadas (</w:t>
      </w:r>
      <w:r w:rsidR="00CB2E3E">
        <w:rPr>
          <w:rFonts w:ascii="Times" w:hAnsi="Times" w:cs="Arial"/>
          <w:color w:val="595959" w:themeColor="text1" w:themeTint="A6"/>
        </w:rPr>
        <w:t>compartidas</w:t>
      </w:r>
      <w:r w:rsidR="00CB3093">
        <w:rPr>
          <w:rFonts w:ascii="Times" w:hAnsi="Times" w:cs="Arial"/>
          <w:color w:val="595959" w:themeColor="text1" w:themeTint="A6"/>
        </w:rPr>
        <w:t>)</w:t>
      </w:r>
      <w:r w:rsidR="00CB2E3E">
        <w:rPr>
          <w:rFonts w:ascii="Times" w:hAnsi="Times" w:cs="Arial"/>
          <w:color w:val="595959" w:themeColor="text1" w:themeTint="A6"/>
        </w:rPr>
        <w:t xml:space="preserve"> en el portal de la nación.</w:t>
      </w:r>
    </w:p>
    <w:p w14:paraId="0CD8F0A6" w14:textId="77777777" w:rsidR="00B7242B" w:rsidRDefault="00B7242B" w:rsidP="00B7242B">
      <w:pPr>
        <w:pStyle w:val="Default"/>
        <w:jc w:val="both"/>
        <w:rPr>
          <w:rFonts w:ascii="Times" w:hAnsi="Times" w:cs="Arial"/>
          <w:color w:val="595959" w:themeColor="text1" w:themeTint="A6"/>
        </w:rPr>
      </w:pPr>
    </w:p>
    <w:p w14:paraId="5DBB2E3B" w14:textId="183B14C9" w:rsidR="00CB2E3E" w:rsidRDefault="00CB2E3E" w:rsidP="00B7242B">
      <w:pPr>
        <w:pStyle w:val="Default"/>
        <w:jc w:val="both"/>
        <w:rPr>
          <w:rFonts w:ascii="Times" w:hAnsi="Times" w:cs="Arial"/>
          <w:color w:val="595959" w:themeColor="text1" w:themeTint="A6"/>
        </w:rPr>
      </w:pPr>
      <w:r>
        <w:rPr>
          <w:rFonts w:ascii="Times" w:hAnsi="Times" w:cs="Arial"/>
          <w:color w:val="595959" w:themeColor="text1" w:themeTint="A6"/>
        </w:rPr>
        <w:t>De igual mane</w:t>
      </w:r>
      <w:r w:rsidR="00D27A33">
        <w:rPr>
          <w:rFonts w:ascii="Times" w:hAnsi="Times" w:cs="Arial"/>
          <w:color w:val="595959" w:themeColor="text1" w:themeTint="A6"/>
        </w:rPr>
        <w:t>r</w:t>
      </w:r>
      <w:r>
        <w:rPr>
          <w:rFonts w:ascii="Times" w:hAnsi="Times" w:cs="Arial"/>
          <w:color w:val="595959" w:themeColor="text1" w:themeTint="A6"/>
        </w:rPr>
        <w:t xml:space="preserve">a la SDHT cuenta con una sección para compartir los datos abiertos publicados en los portales del distrito y de la nación: </w:t>
      </w:r>
      <w:hyperlink r:id="rId10" w:history="1">
        <w:r w:rsidRPr="00CB2E3E">
          <w:rPr>
            <w:rFonts w:ascii="Times" w:hAnsi="Times" w:cs="Arial"/>
            <w:color w:val="595959" w:themeColor="text1" w:themeTint="A6"/>
          </w:rPr>
          <w:t>https://www.habitatbogota.gov.co/transparencia/informacion-interes/datos-abiertos</w:t>
        </w:r>
      </w:hyperlink>
      <w:r w:rsidRPr="00CB2E3E">
        <w:rPr>
          <w:rFonts w:ascii="Times" w:hAnsi="Times" w:cs="Arial"/>
          <w:color w:val="595959" w:themeColor="text1" w:themeTint="A6"/>
        </w:rPr>
        <w:t>.</w:t>
      </w:r>
    </w:p>
    <w:p w14:paraId="2D992422" w14:textId="77777777" w:rsidR="00D17C8B" w:rsidRDefault="00D17C8B" w:rsidP="00D17C8B">
      <w:pPr>
        <w:spacing w:after="0"/>
        <w:ind w:left="360"/>
        <w:jc w:val="both"/>
        <w:rPr>
          <w:rFonts w:ascii="Times" w:hAnsi="Times" w:cs="Arial"/>
          <w:color w:val="595959" w:themeColor="text1" w:themeTint="A6"/>
          <w:sz w:val="24"/>
          <w:szCs w:val="24"/>
        </w:rPr>
      </w:pPr>
    </w:p>
    <w:p w14:paraId="4F08F780" w14:textId="50749129" w:rsidR="001829C7" w:rsidRPr="00B7242B" w:rsidRDefault="001829C7" w:rsidP="00B7242B">
      <w:pPr>
        <w:spacing w:after="0"/>
        <w:jc w:val="both"/>
        <w:rPr>
          <w:rFonts w:ascii="Times" w:hAnsi="Times" w:cs="Arial"/>
          <w:color w:val="595959" w:themeColor="text1" w:themeTint="A6"/>
          <w:sz w:val="24"/>
          <w:szCs w:val="24"/>
        </w:rPr>
      </w:pPr>
      <w:r w:rsidRPr="00B7242B">
        <w:rPr>
          <w:rFonts w:ascii="Times" w:hAnsi="Times" w:cs="Arial"/>
          <w:color w:val="595959" w:themeColor="text1" w:themeTint="A6"/>
          <w:sz w:val="24"/>
          <w:szCs w:val="24"/>
        </w:rPr>
        <w:t xml:space="preserve">También es importante resaltar que dentro del plan de apertura mejora y uso de datos abiertos SDHT, existe un aparte de comunicación y promoción sobre el uso de los datos abiertos institucionales el cuál es tenido en cuenta para esta estrategia puntual. </w:t>
      </w:r>
    </w:p>
    <w:p w14:paraId="22F1BEC4" w14:textId="77777777" w:rsidR="00D17C8B" w:rsidRPr="00D17C8B" w:rsidRDefault="00D17C8B" w:rsidP="00B7242B">
      <w:pPr>
        <w:spacing w:after="0"/>
        <w:jc w:val="both"/>
        <w:rPr>
          <w:rFonts w:ascii="Times" w:hAnsi="Times" w:cs="Arial"/>
          <w:color w:val="595959" w:themeColor="text1" w:themeTint="A6"/>
          <w:sz w:val="24"/>
          <w:szCs w:val="24"/>
        </w:rPr>
      </w:pPr>
    </w:p>
    <w:p w14:paraId="7A34F196" w14:textId="438E3200" w:rsidR="00B5772A" w:rsidRPr="00B7242B" w:rsidRDefault="00302048" w:rsidP="00B7242B">
      <w:pPr>
        <w:jc w:val="both"/>
        <w:rPr>
          <w:rFonts w:ascii="Times" w:hAnsi="Times" w:cs="Arial"/>
          <w:color w:val="595959" w:themeColor="text1" w:themeTint="A6"/>
          <w:sz w:val="24"/>
          <w:szCs w:val="24"/>
        </w:rPr>
      </w:pPr>
      <w:r w:rsidRPr="00B7242B">
        <w:rPr>
          <w:rFonts w:ascii="Times" w:hAnsi="Times" w:cs="Arial"/>
          <w:color w:val="595959" w:themeColor="text1" w:themeTint="A6"/>
          <w:sz w:val="24"/>
          <w:szCs w:val="24"/>
        </w:rPr>
        <w:t>La Subdirección de Información Sectorial de manera activa para la actualización de los componentes de información de la entidad, valida con las áreas misionales de la entidad la información susceptible a ser dispuesta como dato abierto para cada una de sus vigencias.</w:t>
      </w:r>
    </w:p>
    <w:p w14:paraId="2E543B21" w14:textId="1EBC3737" w:rsidR="001829C7" w:rsidRDefault="00CB3093" w:rsidP="001829C7">
      <w:pPr>
        <w:jc w:val="both"/>
      </w:pPr>
      <w:r>
        <w:rPr>
          <w:rFonts w:ascii="Times" w:hAnsi="Times" w:cs="Arial"/>
          <w:color w:val="595959" w:themeColor="text1" w:themeTint="A6"/>
          <w:sz w:val="24"/>
          <w:szCs w:val="24"/>
        </w:rPr>
        <w:lastRenderedPageBreak/>
        <w:t>De acuerdo con lo anterior,</w:t>
      </w:r>
      <w:r w:rsidR="00B5772A">
        <w:rPr>
          <w:rFonts w:ascii="Times" w:hAnsi="Times" w:cs="Arial"/>
          <w:color w:val="595959" w:themeColor="text1" w:themeTint="A6"/>
          <w:sz w:val="24"/>
          <w:szCs w:val="24"/>
        </w:rPr>
        <w:t xml:space="preserve"> la estrategia de </w:t>
      </w:r>
      <w:r>
        <w:rPr>
          <w:rFonts w:ascii="Times" w:hAnsi="Times" w:cs="Arial"/>
          <w:color w:val="595959" w:themeColor="text1" w:themeTint="A6"/>
          <w:sz w:val="24"/>
          <w:szCs w:val="24"/>
        </w:rPr>
        <w:t>apertura, mejora</w:t>
      </w:r>
      <w:r w:rsidR="00B5772A">
        <w:rPr>
          <w:rFonts w:ascii="Times" w:hAnsi="Times" w:cs="Arial"/>
          <w:color w:val="595959" w:themeColor="text1" w:themeTint="A6"/>
          <w:sz w:val="24"/>
          <w:szCs w:val="24"/>
        </w:rPr>
        <w:t xml:space="preserve"> y uso de datos abiertos para el presente año </w:t>
      </w:r>
      <w:r w:rsidR="00DB2715">
        <w:rPr>
          <w:rFonts w:ascii="Times" w:hAnsi="Times" w:cs="Arial"/>
          <w:color w:val="595959" w:themeColor="text1" w:themeTint="A6"/>
          <w:sz w:val="24"/>
          <w:szCs w:val="24"/>
        </w:rPr>
        <w:t>es</w:t>
      </w:r>
      <w:r w:rsidR="00B5772A">
        <w:rPr>
          <w:rFonts w:ascii="Times" w:hAnsi="Times" w:cs="Arial"/>
          <w:color w:val="595959" w:themeColor="text1" w:themeTint="A6"/>
          <w:sz w:val="24"/>
          <w:szCs w:val="24"/>
        </w:rPr>
        <w:t xml:space="preserve"> la siguiente:</w:t>
      </w:r>
    </w:p>
    <w:p w14:paraId="78FD8F95" w14:textId="3E142069" w:rsidR="005640AD" w:rsidRPr="005B0823" w:rsidRDefault="005E71AA" w:rsidP="00E050EB">
      <w:pPr>
        <w:pStyle w:val="NoSpacing"/>
        <w:numPr>
          <w:ilvl w:val="1"/>
          <w:numId w:val="41"/>
        </w:numPr>
        <w:spacing w:after="240"/>
        <w:ind w:left="372"/>
        <w:jc w:val="both"/>
        <w:outlineLvl w:val="1"/>
        <w:rPr>
          <w:rFonts w:asciiTheme="majorHAnsi" w:hAnsiTheme="majorHAnsi"/>
          <w:b/>
          <w:color w:val="4A442A" w:themeColor="background2" w:themeShade="40"/>
          <w:sz w:val="24"/>
          <w:szCs w:val="24"/>
        </w:rPr>
      </w:pPr>
      <w:bookmarkStart w:id="6" w:name="_Toc124321778"/>
      <w:r w:rsidRPr="005B0823">
        <w:rPr>
          <w:rFonts w:asciiTheme="majorHAnsi" w:hAnsiTheme="majorHAnsi"/>
          <w:b/>
          <w:color w:val="4A442A" w:themeColor="background2" w:themeShade="40"/>
          <w:sz w:val="24"/>
          <w:szCs w:val="24"/>
        </w:rPr>
        <w:t xml:space="preserve">Cronograma de </w:t>
      </w:r>
      <w:r w:rsidR="00026A7D" w:rsidRPr="005B0823">
        <w:rPr>
          <w:rFonts w:asciiTheme="majorHAnsi" w:hAnsiTheme="majorHAnsi"/>
          <w:b/>
          <w:color w:val="4A442A" w:themeColor="background2" w:themeShade="40"/>
          <w:sz w:val="24"/>
          <w:szCs w:val="24"/>
        </w:rPr>
        <w:t xml:space="preserve">identificación y </w:t>
      </w:r>
      <w:r w:rsidRPr="005B0823">
        <w:rPr>
          <w:rFonts w:asciiTheme="majorHAnsi" w:hAnsiTheme="majorHAnsi"/>
          <w:b/>
          <w:color w:val="4A442A" w:themeColor="background2" w:themeShade="40"/>
          <w:sz w:val="24"/>
          <w:szCs w:val="24"/>
        </w:rPr>
        <w:t>publicación de datos abiertos año 202</w:t>
      </w:r>
      <w:r w:rsidR="00DA58BE" w:rsidRPr="005B0823">
        <w:rPr>
          <w:rFonts w:asciiTheme="majorHAnsi" w:hAnsiTheme="majorHAnsi"/>
          <w:b/>
          <w:color w:val="4A442A" w:themeColor="background2" w:themeShade="40"/>
          <w:sz w:val="24"/>
          <w:szCs w:val="24"/>
        </w:rPr>
        <w:t>3</w:t>
      </w:r>
      <w:bookmarkEnd w:id="6"/>
    </w:p>
    <w:p w14:paraId="7395E0B3" w14:textId="77777777" w:rsidR="00DB2646" w:rsidRPr="00386EFB" w:rsidRDefault="00DB2646" w:rsidP="00E050EB">
      <w:pPr>
        <w:pStyle w:val="NoSpacing"/>
        <w:rPr>
          <w:rFonts w:asciiTheme="majorHAnsi" w:hAnsiTheme="majorHAnsi"/>
          <w:b/>
          <w:color w:val="33CCFF"/>
          <w:sz w:val="36"/>
          <w:szCs w:val="36"/>
        </w:rPr>
      </w:pPr>
    </w:p>
    <w:p w14:paraId="4F4CC172" w14:textId="6368ECFF" w:rsidR="00B5772A" w:rsidRDefault="00670B32" w:rsidP="00E050EB">
      <w:pPr>
        <w:spacing w:after="0"/>
        <w:jc w:val="both"/>
        <w:rPr>
          <w:rFonts w:ascii="Times" w:hAnsi="Times" w:cs="Arial"/>
          <w:color w:val="595959" w:themeColor="text1" w:themeTint="A6"/>
          <w:sz w:val="24"/>
          <w:szCs w:val="24"/>
        </w:rPr>
      </w:pPr>
      <w:r>
        <w:rPr>
          <w:rFonts w:ascii="Times" w:hAnsi="Times" w:cs="Arial"/>
          <w:color w:val="595959" w:themeColor="text1" w:themeTint="A6"/>
          <w:sz w:val="24"/>
          <w:szCs w:val="24"/>
        </w:rPr>
        <w:t>Para el año 202</w:t>
      </w:r>
      <w:r w:rsidR="00DA58BE">
        <w:rPr>
          <w:rFonts w:ascii="Times" w:hAnsi="Times" w:cs="Arial"/>
          <w:color w:val="595959" w:themeColor="text1" w:themeTint="A6"/>
          <w:sz w:val="24"/>
          <w:szCs w:val="24"/>
        </w:rPr>
        <w:t>3</w:t>
      </w:r>
      <w:r>
        <w:rPr>
          <w:rFonts w:ascii="Times" w:hAnsi="Times" w:cs="Arial"/>
          <w:color w:val="595959" w:themeColor="text1" w:themeTint="A6"/>
          <w:sz w:val="24"/>
          <w:szCs w:val="24"/>
        </w:rPr>
        <w:t xml:space="preserve"> se definirá la información de interés para los diferentes actores de la entidad teniendo en cuenta la disponibilidad de </w:t>
      </w:r>
      <w:r w:rsidR="00A813C9">
        <w:rPr>
          <w:rFonts w:ascii="Times" w:hAnsi="Times" w:cs="Arial"/>
          <w:color w:val="595959" w:themeColor="text1" w:themeTint="A6"/>
          <w:sz w:val="24"/>
          <w:szCs w:val="24"/>
        </w:rPr>
        <w:t>esta</w:t>
      </w:r>
      <w:r>
        <w:rPr>
          <w:rFonts w:ascii="Times" w:hAnsi="Times" w:cs="Arial"/>
          <w:color w:val="595959" w:themeColor="text1" w:themeTint="A6"/>
          <w:sz w:val="24"/>
          <w:szCs w:val="24"/>
        </w:rPr>
        <w:t xml:space="preserve"> y el impacto que tendrá una vez sea publicada</w:t>
      </w:r>
      <w:r w:rsidR="00A813C9">
        <w:rPr>
          <w:rFonts w:ascii="Times" w:hAnsi="Times" w:cs="Arial"/>
          <w:color w:val="595959" w:themeColor="text1" w:themeTint="A6"/>
          <w:sz w:val="24"/>
          <w:szCs w:val="24"/>
        </w:rPr>
        <w:t>.</w:t>
      </w:r>
      <w:r>
        <w:rPr>
          <w:rFonts w:ascii="Times" w:hAnsi="Times" w:cs="Arial"/>
          <w:color w:val="595959" w:themeColor="text1" w:themeTint="A6"/>
          <w:sz w:val="24"/>
          <w:szCs w:val="24"/>
        </w:rPr>
        <w:t xml:space="preserve"> </w:t>
      </w:r>
      <w:r w:rsidR="00A813C9">
        <w:rPr>
          <w:rFonts w:ascii="Times" w:hAnsi="Times" w:cs="Arial"/>
          <w:color w:val="595959" w:themeColor="text1" w:themeTint="A6"/>
          <w:sz w:val="24"/>
          <w:szCs w:val="24"/>
        </w:rPr>
        <w:t>Pro</w:t>
      </w:r>
      <w:r>
        <w:rPr>
          <w:rFonts w:ascii="Times" w:hAnsi="Times" w:cs="Arial"/>
          <w:color w:val="595959" w:themeColor="text1" w:themeTint="A6"/>
          <w:sz w:val="24"/>
          <w:szCs w:val="24"/>
        </w:rPr>
        <w:t xml:space="preserve">ducto de este trabajo será el cronograma de identificación y publicación </w:t>
      </w:r>
      <w:r w:rsidR="00A813C9">
        <w:rPr>
          <w:rFonts w:ascii="Times" w:hAnsi="Times" w:cs="Arial"/>
          <w:color w:val="595959" w:themeColor="text1" w:themeTint="A6"/>
          <w:sz w:val="24"/>
          <w:szCs w:val="24"/>
        </w:rPr>
        <w:t xml:space="preserve">de información </w:t>
      </w:r>
      <w:r>
        <w:rPr>
          <w:rFonts w:ascii="Times" w:hAnsi="Times" w:cs="Arial"/>
          <w:color w:val="595959" w:themeColor="text1" w:themeTint="A6"/>
          <w:sz w:val="24"/>
          <w:szCs w:val="24"/>
        </w:rPr>
        <w:t xml:space="preserve">misional y </w:t>
      </w:r>
      <w:r w:rsidR="00A813C9">
        <w:rPr>
          <w:rFonts w:ascii="Times" w:hAnsi="Times" w:cs="Arial"/>
          <w:color w:val="595959" w:themeColor="text1" w:themeTint="A6"/>
          <w:sz w:val="24"/>
          <w:szCs w:val="24"/>
        </w:rPr>
        <w:t>estratégica como dato abierto.</w:t>
      </w:r>
    </w:p>
    <w:p w14:paraId="4B58D012" w14:textId="29332FC9" w:rsidR="0071785D" w:rsidRDefault="0071785D" w:rsidP="00E050EB">
      <w:pPr>
        <w:spacing w:after="0"/>
        <w:jc w:val="both"/>
        <w:rPr>
          <w:rFonts w:ascii="Times" w:hAnsi="Times" w:cs="Arial"/>
          <w:color w:val="595959" w:themeColor="text1" w:themeTint="A6"/>
          <w:sz w:val="24"/>
          <w:szCs w:val="24"/>
        </w:rPr>
      </w:pPr>
    </w:p>
    <w:p w14:paraId="2BBD056B" w14:textId="5FE81EB5" w:rsidR="0071785D" w:rsidRDefault="0071785D" w:rsidP="00E050EB">
      <w:pPr>
        <w:spacing w:after="0"/>
        <w:jc w:val="both"/>
        <w:rPr>
          <w:rFonts w:ascii="Times" w:hAnsi="Times" w:cs="Arial"/>
          <w:color w:val="595959" w:themeColor="text1" w:themeTint="A6"/>
          <w:sz w:val="24"/>
          <w:szCs w:val="24"/>
        </w:rPr>
      </w:pPr>
      <w:r>
        <w:rPr>
          <w:rFonts w:ascii="Times" w:hAnsi="Times" w:cs="Arial"/>
          <w:color w:val="595959" w:themeColor="text1" w:themeTint="A6"/>
          <w:sz w:val="24"/>
          <w:szCs w:val="24"/>
        </w:rPr>
        <w:t>Teniendo en cuenta los requerimientos planteados por la Secretaría General y enunciados en la primera parte de este documento, se requiere incluir información presupuestal de la entidad en la información a disponer como datos abiertos.</w:t>
      </w:r>
    </w:p>
    <w:p w14:paraId="2624F597" w14:textId="77777777" w:rsidR="00670B32" w:rsidRPr="00034050" w:rsidRDefault="00670B32" w:rsidP="00E050EB">
      <w:pPr>
        <w:spacing w:after="0"/>
        <w:jc w:val="both"/>
        <w:rPr>
          <w:rFonts w:ascii="Times" w:hAnsi="Times" w:cs="Arial"/>
          <w:color w:val="595959" w:themeColor="text1" w:themeTint="A6"/>
          <w:sz w:val="24"/>
          <w:szCs w:val="24"/>
        </w:rPr>
      </w:pPr>
    </w:p>
    <w:p w14:paraId="528FF287" w14:textId="3239B19F" w:rsidR="00B5772A" w:rsidRPr="00034050" w:rsidRDefault="00B5772A" w:rsidP="00E050EB">
      <w:pPr>
        <w:spacing w:after="0"/>
        <w:jc w:val="both"/>
        <w:rPr>
          <w:rFonts w:ascii="Times" w:hAnsi="Times" w:cs="Arial"/>
          <w:color w:val="595959" w:themeColor="text1" w:themeTint="A6"/>
          <w:sz w:val="24"/>
          <w:szCs w:val="24"/>
        </w:rPr>
      </w:pPr>
      <w:r w:rsidRPr="00034050">
        <w:rPr>
          <w:rFonts w:ascii="Times" w:hAnsi="Times" w:cs="Arial"/>
          <w:b/>
          <w:bCs/>
          <w:color w:val="595959" w:themeColor="text1" w:themeTint="A6"/>
          <w:sz w:val="24"/>
          <w:szCs w:val="24"/>
        </w:rPr>
        <w:t>Responsable</w:t>
      </w:r>
      <w:r w:rsidRPr="00034050">
        <w:rPr>
          <w:rFonts w:ascii="Times" w:hAnsi="Times" w:cs="Arial"/>
          <w:color w:val="595959" w:themeColor="text1" w:themeTint="A6"/>
          <w:sz w:val="24"/>
          <w:szCs w:val="24"/>
        </w:rPr>
        <w:t>: Subdirección de Información Sectorial de la SDHT</w:t>
      </w:r>
    </w:p>
    <w:p w14:paraId="05DFB585" w14:textId="72435A19" w:rsidR="00B5772A" w:rsidRPr="00034050" w:rsidRDefault="00B5772A" w:rsidP="001638FC">
      <w:pPr>
        <w:spacing w:after="0"/>
        <w:ind w:left="708"/>
        <w:jc w:val="both"/>
        <w:rPr>
          <w:rFonts w:ascii="Times" w:hAnsi="Times" w:cs="Arial"/>
          <w:color w:val="595959" w:themeColor="text1" w:themeTint="A6"/>
          <w:sz w:val="24"/>
          <w:szCs w:val="24"/>
        </w:rPr>
      </w:pPr>
    </w:p>
    <w:p w14:paraId="4F5AE981" w14:textId="6DBCCA69" w:rsidR="00E8514D" w:rsidRDefault="00E8514D" w:rsidP="001638FC">
      <w:pPr>
        <w:spacing w:after="0"/>
        <w:ind w:left="708"/>
        <w:jc w:val="both"/>
        <w:rPr>
          <w:rFonts w:ascii="Times" w:hAnsi="Times" w:cs="Arial"/>
          <w:b/>
          <w:bCs/>
          <w:color w:val="595959" w:themeColor="text1" w:themeTint="A6"/>
          <w:sz w:val="24"/>
          <w:szCs w:val="24"/>
        </w:rPr>
      </w:pPr>
    </w:p>
    <w:p w14:paraId="54ACE4CA" w14:textId="2003410A" w:rsidR="00E8514D" w:rsidRPr="005B0823" w:rsidRDefault="00E8514D" w:rsidP="00E050EB">
      <w:pPr>
        <w:pStyle w:val="NoSpacing"/>
        <w:numPr>
          <w:ilvl w:val="1"/>
          <w:numId w:val="41"/>
        </w:numPr>
        <w:spacing w:after="240"/>
        <w:ind w:left="384"/>
        <w:jc w:val="both"/>
        <w:outlineLvl w:val="1"/>
        <w:rPr>
          <w:rFonts w:asciiTheme="majorHAnsi" w:hAnsiTheme="majorHAnsi"/>
          <w:b/>
          <w:color w:val="4A442A" w:themeColor="background2" w:themeShade="40"/>
          <w:sz w:val="24"/>
          <w:szCs w:val="24"/>
        </w:rPr>
      </w:pPr>
      <w:bookmarkStart w:id="7" w:name="_Toc124321779"/>
      <w:r w:rsidRPr="005B0823">
        <w:rPr>
          <w:rFonts w:asciiTheme="majorHAnsi" w:hAnsiTheme="majorHAnsi"/>
          <w:b/>
          <w:color w:val="4A442A" w:themeColor="background2" w:themeShade="40"/>
          <w:sz w:val="24"/>
          <w:szCs w:val="24"/>
        </w:rPr>
        <w:t xml:space="preserve">Publicación </w:t>
      </w:r>
      <w:r w:rsidRPr="005B0823">
        <w:rPr>
          <w:rFonts w:asciiTheme="majorHAnsi" w:hAnsiTheme="majorHAnsi"/>
          <w:b/>
          <w:color w:val="4A442A" w:themeColor="background2" w:themeShade="40"/>
          <w:sz w:val="24"/>
          <w:szCs w:val="24"/>
        </w:rPr>
        <w:t xml:space="preserve">de </w:t>
      </w:r>
      <w:r w:rsidRPr="005B0823">
        <w:rPr>
          <w:rFonts w:asciiTheme="majorHAnsi" w:hAnsiTheme="majorHAnsi"/>
          <w:b/>
          <w:color w:val="4A442A" w:themeColor="background2" w:themeShade="40"/>
          <w:sz w:val="24"/>
          <w:szCs w:val="24"/>
        </w:rPr>
        <w:t>los conjuntos de datos abiertos identificados en el portal de la ciudad</w:t>
      </w:r>
      <w:bookmarkEnd w:id="7"/>
    </w:p>
    <w:p w14:paraId="08898027" w14:textId="1B74D466" w:rsidR="00E8514D" w:rsidRPr="00E8514D" w:rsidRDefault="00E8514D" w:rsidP="00E050EB">
      <w:pPr>
        <w:spacing w:after="0"/>
        <w:ind w:left="12"/>
        <w:jc w:val="both"/>
        <w:rPr>
          <w:rFonts w:ascii="Times" w:hAnsi="Times" w:cs="Arial"/>
          <w:color w:val="595959" w:themeColor="text1" w:themeTint="A6"/>
          <w:sz w:val="24"/>
          <w:szCs w:val="24"/>
        </w:rPr>
      </w:pPr>
      <w:r>
        <w:rPr>
          <w:rFonts w:ascii="Times" w:hAnsi="Times" w:cs="Arial"/>
          <w:color w:val="595959" w:themeColor="text1" w:themeTint="A6"/>
          <w:sz w:val="24"/>
          <w:szCs w:val="24"/>
        </w:rPr>
        <w:t>Todos los conjuntos de datos abiertos identificados para publicar en el año 2023 tendrán un trabajo de modelamiento y cumplimiento de lineamientos IDECA para su publicación bien sea como datos georreferenciados o como datos solamente alfanuméricos.</w:t>
      </w:r>
      <w:r w:rsidR="00EB582B">
        <w:rPr>
          <w:rFonts w:ascii="Times" w:hAnsi="Times" w:cs="Arial"/>
          <w:color w:val="595959" w:themeColor="text1" w:themeTint="A6"/>
          <w:sz w:val="24"/>
          <w:szCs w:val="24"/>
        </w:rPr>
        <w:t xml:space="preserve"> Los tiempos de cumplimiento están descritos en el cronograma de publicación ubicado en la página web de la entidad.</w:t>
      </w:r>
    </w:p>
    <w:p w14:paraId="1E060CC5" w14:textId="77777777" w:rsidR="00E8514D" w:rsidRPr="00E8514D" w:rsidRDefault="00E8514D" w:rsidP="00E050EB">
      <w:pPr>
        <w:spacing w:after="0"/>
        <w:ind w:left="12"/>
        <w:jc w:val="both"/>
        <w:rPr>
          <w:rFonts w:ascii="Times" w:hAnsi="Times" w:cs="Arial"/>
          <w:color w:val="595959" w:themeColor="text1" w:themeTint="A6"/>
          <w:sz w:val="24"/>
          <w:szCs w:val="24"/>
        </w:rPr>
      </w:pPr>
    </w:p>
    <w:p w14:paraId="6924A8AC" w14:textId="73330C76" w:rsidR="00E8514D" w:rsidRPr="00E8514D" w:rsidRDefault="00E8514D" w:rsidP="00E050EB">
      <w:pPr>
        <w:spacing w:after="0"/>
        <w:ind w:left="12"/>
        <w:jc w:val="both"/>
        <w:rPr>
          <w:rFonts w:ascii="Times" w:hAnsi="Times" w:cs="Arial"/>
          <w:color w:val="595959" w:themeColor="text1" w:themeTint="A6"/>
          <w:sz w:val="24"/>
          <w:szCs w:val="24"/>
        </w:rPr>
      </w:pPr>
      <w:r w:rsidRPr="00E8514D">
        <w:rPr>
          <w:rFonts w:ascii="Times" w:hAnsi="Times" w:cs="Arial"/>
          <w:b/>
          <w:bCs/>
          <w:color w:val="595959" w:themeColor="text1" w:themeTint="A6"/>
          <w:sz w:val="24"/>
          <w:szCs w:val="24"/>
        </w:rPr>
        <w:t>Responsable</w:t>
      </w:r>
      <w:r w:rsidRPr="00E8514D">
        <w:rPr>
          <w:rFonts w:ascii="Times" w:hAnsi="Times" w:cs="Arial"/>
          <w:color w:val="595959" w:themeColor="text1" w:themeTint="A6"/>
          <w:sz w:val="24"/>
          <w:szCs w:val="24"/>
        </w:rPr>
        <w:t>: Subdirección de Información Sectorial de la SDHT</w:t>
      </w:r>
      <w:r w:rsidR="00EB582B">
        <w:rPr>
          <w:rFonts w:ascii="Times" w:hAnsi="Times" w:cs="Arial"/>
          <w:color w:val="595959" w:themeColor="text1" w:themeTint="A6"/>
          <w:sz w:val="24"/>
          <w:szCs w:val="24"/>
        </w:rPr>
        <w:t xml:space="preserve"> – Subdirecciones misionales y de apoyo dueñas de la información a publicar</w:t>
      </w:r>
    </w:p>
    <w:p w14:paraId="3E67B6C9" w14:textId="77777777" w:rsidR="00E8514D" w:rsidRPr="00E8514D" w:rsidRDefault="00E8514D" w:rsidP="00E050EB">
      <w:pPr>
        <w:spacing w:after="0"/>
        <w:ind w:left="12"/>
        <w:jc w:val="both"/>
        <w:rPr>
          <w:rFonts w:ascii="Times" w:hAnsi="Times" w:cs="Arial"/>
          <w:color w:val="595959" w:themeColor="text1" w:themeTint="A6"/>
          <w:sz w:val="24"/>
          <w:szCs w:val="24"/>
        </w:rPr>
      </w:pPr>
    </w:p>
    <w:p w14:paraId="2BDC10DE" w14:textId="77777777" w:rsidR="00E8514D" w:rsidRPr="00E8514D" w:rsidRDefault="00E8514D" w:rsidP="00E050EB">
      <w:pPr>
        <w:spacing w:after="0"/>
        <w:ind w:left="12"/>
        <w:jc w:val="both"/>
        <w:rPr>
          <w:rFonts w:ascii="Times" w:hAnsi="Times" w:cs="Arial"/>
          <w:color w:val="595959" w:themeColor="text1" w:themeTint="A6"/>
          <w:sz w:val="24"/>
          <w:szCs w:val="24"/>
        </w:rPr>
      </w:pPr>
      <w:r w:rsidRPr="00E8514D">
        <w:rPr>
          <w:rFonts w:ascii="Times" w:hAnsi="Times" w:cs="Arial"/>
          <w:b/>
          <w:bCs/>
          <w:color w:val="595959" w:themeColor="text1" w:themeTint="A6"/>
          <w:sz w:val="24"/>
          <w:szCs w:val="24"/>
        </w:rPr>
        <w:t xml:space="preserve">Actores adicionales: IDECA – </w:t>
      </w:r>
      <w:r w:rsidRPr="00E8514D">
        <w:rPr>
          <w:rFonts w:ascii="Times" w:hAnsi="Times" w:cs="Arial"/>
          <w:color w:val="595959" w:themeColor="text1" w:themeTint="A6"/>
          <w:sz w:val="24"/>
          <w:szCs w:val="24"/>
        </w:rPr>
        <w:t>Para los conjuntos de datos que tengan componente de servicios geográficos, los cuales deben surtir el proceso establecido por esta entidad.</w:t>
      </w:r>
    </w:p>
    <w:p w14:paraId="7EAE0218" w14:textId="77777777" w:rsidR="00E8514D" w:rsidRPr="00034050" w:rsidRDefault="00E8514D" w:rsidP="00E050EB">
      <w:pPr>
        <w:spacing w:after="0"/>
        <w:ind w:left="12"/>
        <w:jc w:val="both"/>
        <w:rPr>
          <w:rFonts w:ascii="Times" w:hAnsi="Times" w:cs="Arial"/>
          <w:b/>
          <w:bCs/>
          <w:color w:val="595959" w:themeColor="text1" w:themeTint="A6"/>
          <w:sz w:val="24"/>
          <w:szCs w:val="24"/>
        </w:rPr>
      </w:pPr>
    </w:p>
    <w:p w14:paraId="5CFD8AEB" w14:textId="77777777" w:rsidR="00E37B7B" w:rsidRPr="00887F9E" w:rsidRDefault="00E37B7B" w:rsidP="00E050EB">
      <w:pPr>
        <w:pStyle w:val="Default"/>
        <w:spacing w:line="276" w:lineRule="auto"/>
        <w:rPr>
          <w:rFonts w:ascii="Times" w:hAnsi="Times" w:cs="Arial"/>
          <w:color w:val="595959" w:themeColor="text1" w:themeTint="A6"/>
        </w:rPr>
      </w:pPr>
    </w:p>
    <w:p w14:paraId="295DD49A" w14:textId="2E8323AC" w:rsidR="006572C2" w:rsidRPr="005B0823" w:rsidRDefault="00DA58BE" w:rsidP="00E050EB">
      <w:pPr>
        <w:pStyle w:val="NoSpacing"/>
        <w:numPr>
          <w:ilvl w:val="1"/>
          <w:numId w:val="41"/>
        </w:numPr>
        <w:spacing w:after="240"/>
        <w:ind w:left="384"/>
        <w:jc w:val="both"/>
        <w:outlineLvl w:val="1"/>
        <w:rPr>
          <w:rFonts w:asciiTheme="majorHAnsi" w:hAnsiTheme="majorHAnsi"/>
          <w:b/>
          <w:color w:val="4A442A" w:themeColor="background2" w:themeShade="40"/>
          <w:sz w:val="24"/>
          <w:szCs w:val="24"/>
        </w:rPr>
      </w:pPr>
      <w:bookmarkStart w:id="8" w:name="_Toc124321780"/>
      <w:r w:rsidRPr="005B0823">
        <w:rPr>
          <w:rFonts w:asciiTheme="majorHAnsi" w:hAnsiTheme="majorHAnsi"/>
          <w:b/>
          <w:color w:val="4A442A" w:themeColor="background2" w:themeShade="40"/>
          <w:sz w:val="24"/>
          <w:szCs w:val="24"/>
        </w:rPr>
        <w:t>Gestión</w:t>
      </w:r>
      <w:r w:rsidR="00427C1B" w:rsidRPr="005B0823">
        <w:rPr>
          <w:rFonts w:asciiTheme="majorHAnsi" w:hAnsiTheme="majorHAnsi"/>
          <w:b/>
          <w:color w:val="4A442A" w:themeColor="background2" w:themeShade="40"/>
          <w:sz w:val="24"/>
          <w:szCs w:val="24"/>
        </w:rPr>
        <w:t xml:space="preserve"> de</w:t>
      </w:r>
      <w:r w:rsidRPr="005B0823">
        <w:rPr>
          <w:rFonts w:asciiTheme="majorHAnsi" w:hAnsiTheme="majorHAnsi"/>
          <w:b/>
          <w:color w:val="4A442A" w:themeColor="background2" w:themeShade="40"/>
          <w:sz w:val="24"/>
          <w:szCs w:val="24"/>
        </w:rPr>
        <w:t>l</w:t>
      </w:r>
      <w:r w:rsidR="00427C1B" w:rsidRPr="005B0823">
        <w:rPr>
          <w:rFonts w:asciiTheme="majorHAnsi" w:hAnsiTheme="majorHAnsi"/>
          <w:b/>
          <w:color w:val="4A442A" w:themeColor="background2" w:themeShade="40"/>
          <w:sz w:val="24"/>
          <w:szCs w:val="24"/>
        </w:rPr>
        <w:t xml:space="preserve"> curso virtual de datos abiertos para los funcionarios y contratistas tanto de la entidad</w:t>
      </w:r>
      <w:r w:rsidRPr="005B0823">
        <w:rPr>
          <w:rFonts w:asciiTheme="majorHAnsi" w:hAnsiTheme="majorHAnsi"/>
          <w:b/>
          <w:color w:val="4A442A" w:themeColor="background2" w:themeShade="40"/>
          <w:sz w:val="24"/>
          <w:szCs w:val="24"/>
        </w:rPr>
        <w:t xml:space="preserve"> desde la Escuela del Hábitat</w:t>
      </w:r>
      <w:bookmarkEnd w:id="8"/>
    </w:p>
    <w:p w14:paraId="0FB1D9E3" w14:textId="77777777" w:rsidR="006572C2" w:rsidRPr="00386EFB" w:rsidRDefault="006572C2" w:rsidP="00E050EB">
      <w:pPr>
        <w:pStyle w:val="NoSpacing"/>
        <w:rPr>
          <w:rFonts w:asciiTheme="majorHAnsi" w:hAnsiTheme="majorHAnsi"/>
          <w:b/>
          <w:color w:val="33CCFF"/>
          <w:sz w:val="36"/>
          <w:szCs w:val="36"/>
        </w:rPr>
      </w:pPr>
    </w:p>
    <w:p w14:paraId="0219FEED" w14:textId="77777777" w:rsidR="003E04C8" w:rsidRPr="00034050" w:rsidRDefault="00DA58BE" w:rsidP="00E050EB">
      <w:pPr>
        <w:spacing w:after="0"/>
        <w:ind w:left="12"/>
        <w:jc w:val="both"/>
        <w:rPr>
          <w:rFonts w:ascii="Times" w:hAnsi="Times" w:cs="Arial"/>
          <w:color w:val="595959" w:themeColor="text1" w:themeTint="A6"/>
          <w:sz w:val="24"/>
          <w:szCs w:val="24"/>
        </w:rPr>
      </w:pPr>
      <w:r>
        <w:rPr>
          <w:rFonts w:ascii="Times" w:hAnsi="Times" w:cs="Arial"/>
          <w:color w:val="595959" w:themeColor="text1" w:themeTint="A6"/>
          <w:sz w:val="24"/>
          <w:szCs w:val="24"/>
        </w:rPr>
        <w:t xml:space="preserve">El curso ya se encuentra creado y existen servidores que ya lo están realizando, el reto y el compromiso es lograr que el curso sea realizado por 200 o más servidores públicos. Para ello </w:t>
      </w:r>
      <w:r>
        <w:rPr>
          <w:rFonts w:ascii="Times" w:hAnsi="Times" w:cs="Arial"/>
          <w:color w:val="595959" w:themeColor="text1" w:themeTint="A6"/>
          <w:sz w:val="24"/>
          <w:szCs w:val="24"/>
        </w:rPr>
        <w:lastRenderedPageBreak/>
        <w:t>desde la SIS se realizará una estrategia para invitar a los contratistas y funcionarios a la realización del mismo.</w:t>
      </w:r>
      <w:r w:rsidR="003E04C8">
        <w:rPr>
          <w:rFonts w:ascii="Times" w:hAnsi="Times" w:cs="Arial"/>
          <w:color w:val="595959" w:themeColor="text1" w:themeTint="A6"/>
          <w:sz w:val="24"/>
          <w:szCs w:val="24"/>
        </w:rPr>
        <w:t xml:space="preserve"> El curso está disponible en la escuela del Hábitat.</w:t>
      </w:r>
    </w:p>
    <w:p w14:paraId="350086F3" w14:textId="3A5581EB" w:rsidR="006572C2" w:rsidRPr="00034050" w:rsidRDefault="006572C2" w:rsidP="006572C2">
      <w:pPr>
        <w:spacing w:after="0"/>
        <w:ind w:left="708"/>
        <w:jc w:val="both"/>
        <w:rPr>
          <w:rFonts w:ascii="Times" w:hAnsi="Times" w:cs="Arial"/>
          <w:color w:val="595959" w:themeColor="text1" w:themeTint="A6"/>
          <w:sz w:val="24"/>
          <w:szCs w:val="24"/>
        </w:rPr>
      </w:pPr>
    </w:p>
    <w:p w14:paraId="7045D591" w14:textId="77777777" w:rsidR="006572C2" w:rsidRPr="00034050" w:rsidRDefault="006572C2" w:rsidP="00E050EB">
      <w:pPr>
        <w:spacing w:after="0"/>
        <w:jc w:val="both"/>
        <w:rPr>
          <w:rFonts w:ascii="Times" w:hAnsi="Times" w:cs="Arial"/>
          <w:color w:val="595959" w:themeColor="text1" w:themeTint="A6"/>
          <w:sz w:val="24"/>
          <w:szCs w:val="24"/>
        </w:rPr>
      </w:pPr>
    </w:p>
    <w:p w14:paraId="421F0BD8" w14:textId="1BCF12AD" w:rsidR="006572C2" w:rsidRDefault="006572C2" w:rsidP="00E050EB">
      <w:pPr>
        <w:spacing w:after="0"/>
        <w:jc w:val="both"/>
        <w:rPr>
          <w:rFonts w:ascii="Times" w:hAnsi="Times" w:cs="Arial"/>
          <w:color w:val="595959" w:themeColor="text1" w:themeTint="A6"/>
          <w:sz w:val="24"/>
          <w:szCs w:val="24"/>
        </w:rPr>
      </w:pPr>
      <w:r w:rsidRPr="00034050">
        <w:rPr>
          <w:rFonts w:ascii="Times" w:hAnsi="Times" w:cs="Arial"/>
          <w:b/>
          <w:bCs/>
          <w:color w:val="595959" w:themeColor="text1" w:themeTint="A6"/>
          <w:sz w:val="24"/>
          <w:szCs w:val="24"/>
        </w:rPr>
        <w:t>Responsable</w:t>
      </w:r>
      <w:r w:rsidRPr="00034050">
        <w:rPr>
          <w:rFonts w:ascii="Times" w:hAnsi="Times" w:cs="Arial"/>
          <w:color w:val="595959" w:themeColor="text1" w:themeTint="A6"/>
          <w:sz w:val="24"/>
          <w:szCs w:val="24"/>
        </w:rPr>
        <w:t>: Subdirección de Información Sectorial de la SDHT</w:t>
      </w:r>
      <w:r w:rsidR="00427C1B">
        <w:rPr>
          <w:rFonts w:ascii="Times" w:hAnsi="Times" w:cs="Arial"/>
          <w:color w:val="595959" w:themeColor="text1" w:themeTint="A6"/>
          <w:sz w:val="24"/>
          <w:szCs w:val="24"/>
        </w:rPr>
        <w:t xml:space="preserve"> – Oficina Asesora de Comunicaciones SDHT.</w:t>
      </w:r>
    </w:p>
    <w:p w14:paraId="720C39C2" w14:textId="5A10A92F" w:rsidR="00427C1B" w:rsidRDefault="00427C1B" w:rsidP="00E050EB">
      <w:pPr>
        <w:spacing w:after="0"/>
        <w:jc w:val="both"/>
        <w:rPr>
          <w:rFonts w:ascii="Times" w:hAnsi="Times" w:cs="Arial"/>
          <w:color w:val="595959" w:themeColor="text1" w:themeTint="A6"/>
          <w:sz w:val="24"/>
          <w:szCs w:val="24"/>
        </w:rPr>
      </w:pPr>
    </w:p>
    <w:p w14:paraId="7A04E039" w14:textId="570472E1" w:rsidR="00390FA4" w:rsidRPr="005B0823" w:rsidRDefault="00C56DD5" w:rsidP="00E050EB">
      <w:pPr>
        <w:pStyle w:val="NoSpacing"/>
        <w:numPr>
          <w:ilvl w:val="1"/>
          <w:numId w:val="41"/>
        </w:numPr>
        <w:spacing w:after="240"/>
        <w:ind w:left="372"/>
        <w:jc w:val="both"/>
        <w:outlineLvl w:val="1"/>
        <w:rPr>
          <w:rFonts w:asciiTheme="majorHAnsi" w:hAnsiTheme="majorHAnsi"/>
          <w:b/>
          <w:color w:val="4A442A" w:themeColor="background2" w:themeShade="40"/>
          <w:sz w:val="24"/>
          <w:szCs w:val="24"/>
        </w:rPr>
      </w:pPr>
      <w:bookmarkStart w:id="9" w:name="_Toc124321781"/>
      <w:r w:rsidRPr="005B0823">
        <w:rPr>
          <w:rFonts w:asciiTheme="majorHAnsi" w:hAnsiTheme="majorHAnsi"/>
          <w:b/>
          <w:color w:val="4A442A" w:themeColor="background2" w:themeShade="40"/>
          <w:sz w:val="24"/>
          <w:szCs w:val="24"/>
        </w:rPr>
        <w:t>Participación en los ejercicios de datos abiertos realizados dentro de la estrategia de Gobierno Abierto de la ciudad.</w:t>
      </w:r>
      <w:bookmarkEnd w:id="9"/>
    </w:p>
    <w:p w14:paraId="281AE97D" w14:textId="77777777" w:rsidR="00390FA4" w:rsidRPr="00386EFB" w:rsidRDefault="00390FA4" w:rsidP="00E050EB">
      <w:pPr>
        <w:pStyle w:val="NoSpacing"/>
        <w:rPr>
          <w:rFonts w:asciiTheme="majorHAnsi" w:hAnsiTheme="majorHAnsi"/>
          <w:b/>
          <w:color w:val="33CCFF"/>
          <w:sz w:val="36"/>
          <w:szCs w:val="36"/>
        </w:rPr>
      </w:pPr>
    </w:p>
    <w:p w14:paraId="3691937D" w14:textId="3F033C51" w:rsidR="00390FA4" w:rsidRDefault="00C56DD5" w:rsidP="00E050EB">
      <w:pPr>
        <w:spacing w:after="0"/>
        <w:jc w:val="both"/>
        <w:rPr>
          <w:rFonts w:ascii="Times" w:hAnsi="Times" w:cs="Arial"/>
          <w:color w:val="595959" w:themeColor="text1" w:themeTint="A6"/>
          <w:sz w:val="24"/>
          <w:szCs w:val="24"/>
        </w:rPr>
      </w:pPr>
      <w:r>
        <w:rPr>
          <w:rFonts w:ascii="Times" w:hAnsi="Times" w:cs="Arial"/>
          <w:color w:val="595959" w:themeColor="text1" w:themeTint="A6"/>
          <w:sz w:val="24"/>
          <w:szCs w:val="24"/>
        </w:rPr>
        <w:t xml:space="preserve">La entidad estará atenta a las convocatorias adelantadas sobre ejercicios de datos abiertos como lo fue el DATAGAB del año 2021 </w:t>
      </w:r>
      <w:r w:rsidR="005B7C71">
        <w:rPr>
          <w:rFonts w:ascii="Times" w:hAnsi="Times" w:cs="Arial"/>
          <w:color w:val="595959" w:themeColor="text1" w:themeTint="A6"/>
          <w:sz w:val="24"/>
          <w:szCs w:val="24"/>
        </w:rPr>
        <w:t xml:space="preserve">- </w:t>
      </w:r>
      <w:r>
        <w:rPr>
          <w:rFonts w:ascii="Times" w:hAnsi="Times" w:cs="Arial"/>
          <w:color w:val="595959" w:themeColor="text1" w:themeTint="A6"/>
          <w:sz w:val="24"/>
          <w:szCs w:val="24"/>
        </w:rPr>
        <w:t xml:space="preserve">o </w:t>
      </w:r>
      <w:r w:rsidR="005B7C71">
        <w:rPr>
          <w:rFonts w:ascii="Times" w:hAnsi="Times" w:cs="Arial"/>
          <w:color w:val="595959" w:themeColor="text1" w:themeTint="A6"/>
          <w:sz w:val="24"/>
          <w:szCs w:val="24"/>
        </w:rPr>
        <w:t>el plan de incentivos del año 2022.</w:t>
      </w:r>
    </w:p>
    <w:p w14:paraId="235AB7C5" w14:textId="6A48C81F" w:rsidR="00C56DD5" w:rsidRDefault="00C56DD5" w:rsidP="00E050EB">
      <w:pPr>
        <w:spacing w:after="0"/>
        <w:jc w:val="both"/>
        <w:rPr>
          <w:rFonts w:ascii="Times" w:hAnsi="Times" w:cs="Arial"/>
          <w:color w:val="595959" w:themeColor="text1" w:themeTint="A6"/>
          <w:sz w:val="24"/>
          <w:szCs w:val="24"/>
        </w:rPr>
      </w:pPr>
    </w:p>
    <w:p w14:paraId="05323903" w14:textId="51E0150E" w:rsidR="00C56DD5" w:rsidRDefault="00C56DD5" w:rsidP="00E050EB">
      <w:pPr>
        <w:spacing w:after="0"/>
        <w:jc w:val="both"/>
        <w:rPr>
          <w:rFonts w:ascii="Times" w:hAnsi="Times" w:cs="Arial"/>
          <w:color w:val="595959" w:themeColor="text1" w:themeTint="A6"/>
          <w:sz w:val="24"/>
          <w:szCs w:val="24"/>
        </w:rPr>
      </w:pPr>
      <w:r>
        <w:rPr>
          <w:rFonts w:ascii="Times" w:hAnsi="Times" w:cs="Arial"/>
          <w:color w:val="595959" w:themeColor="text1" w:themeTint="A6"/>
          <w:sz w:val="24"/>
          <w:szCs w:val="24"/>
        </w:rPr>
        <w:t>Esta acción se realizará dependiendo del cronograma establecido para tal fin por la Secretaría General de la Alcaldía Mayor de la ciudad.</w:t>
      </w:r>
    </w:p>
    <w:p w14:paraId="2ADE52C2" w14:textId="2E19968C" w:rsidR="00836E01" w:rsidRDefault="00836E01" w:rsidP="00E050EB">
      <w:pPr>
        <w:spacing w:after="0"/>
        <w:jc w:val="both"/>
        <w:rPr>
          <w:rFonts w:ascii="Times" w:hAnsi="Times" w:cs="Arial"/>
          <w:color w:val="595959" w:themeColor="text1" w:themeTint="A6"/>
          <w:sz w:val="24"/>
          <w:szCs w:val="24"/>
        </w:rPr>
      </w:pPr>
    </w:p>
    <w:p w14:paraId="7A6E1DD4" w14:textId="6C570DFD" w:rsidR="00836E01" w:rsidRPr="005B0823" w:rsidRDefault="001918E6" w:rsidP="00E050EB">
      <w:pPr>
        <w:pStyle w:val="NoSpacing"/>
        <w:numPr>
          <w:ilvl w:val="1"/>
          <w:numId w:val="41"/>
        </w:numPr>
        <w:spacing w:after="240"/>
        <w:ind w:left="372"/>
        <w:jc w:val="both"/>
        <w:outlineLvl w:val="1"/>
        <w:rPr>
          <w:rFonts w:asciiTheme="majorHAnsi" w:hAnsiTheme="majorHAnsi"/>
          <w:b/>
          <w:color w:val="4A442A" w:themeColor="background2" w:themeShade="40"/>
          <w:sz w:val="24"/>
          <w:szCs w:val="24"/>
        </w:rPr>
      </w:pPr>
      <w:bookmarkStart w:id="10" w:name="_Toc124321782"/>
      <w:r w:rsidRPr="005B0823">
        <w:rPr>
          <w:rFonts w:asciiTheme="majorHAnsi" w:hAnsiTheme="majorHAnsi"/>
          <w:b/>
          <w:color w:val="4A442A" w:themeColor="background2" w:themeShade="40"/>
          <w:sz w:val="24"/>
          <w:szCs w:val="24"/>
        </w:rPr>
        <w:t>Realización de un ejercicio de uso de los datos abiertos de la entidad</w:t>
      </w:r>
      <w:r w:rsidR="00836E01" w:rsidRPr="005B0823">
        <w:rPr>
          <w:rFonts w:asciiTheme="majorHAnsi" w:hAnsiTheme="majorHAnsi"/>
          <w:b/>
          <w:color w:val="4A442A" w:themeColor="background2" w:themeShade="40"/>
          <w:sz w:val="24"/>
          <w:szCs w:val="24"/>
        </w:rPr>
        <w:t>.</w:t>
      </w:r>
      <w:bookmarkEnd w:id="10"/>
    </w:p>
    <w:p w14:paraId="2BE80960" w14:textId="41FFF04F" w:rsidR="00836E01" w:rsidRPr="00034050" w:rsidRDefault="001918E6" w:rsidP="00E050EB">
      <w:pPr>
        <w:spacing w:after="0"/>
        <w:jc w:val="both"/>
        <w:rPr>
          <w:rFonts w:ascii="Times" w:hAnsi="Times" w:cs="Arial"/>
          <w:color w:val="595959" w:themeColor="text1" w:themeTint="A6"/>
          <w:sz w:val="24"/>
          <w:szCs w:val="24"/>
        </w:rPr>
      </w:pPr>
      <w:r>
        <w:rPr>
          <w:rFonts w:ascii="Times" w:hAnsi="Times" w:cs="Arial"/>
          <w:color w:val="595959" w:themeColor="text1" w:themeTint="A6"/>
          <w:sz w:val="24"/>
          <w:szCs w:val="24"/>
        </w:rPr>
        <w:t>Se realizará al menos un ejercicio de aprovechamiento de los datos abiertos de la entidad para construir información agregada bien sea con información de datos abiertos de otras entidades o con información propia de la entidad.</w:t>
      </w:r>
    </w:p>
    <w:p w14:paraId="7FBC69BC" w14:textId="77777777" w:rsidR="00836E01" w:rsidRPr="00034050" w:rsidRDefault="00836E01" w:rsidP="00E050EB">
      <w:pPr>
        <w:spacing w:after="0"/>
        <w:jc w:val="both"/>
        <w:rPr>
          <w:rFonts w:ascii="Times" w:hAnsi="Times" w:cs="Arial"/>
          <w:color w:val="595959" w:themeColor="text1" w:themeTint="A6"/>
          <w:sz w:val="24"/>
          <w:szCs w:val="24"/>
        </w:rPr>
      </w:pPr>
    </w:p>
    <w:p w14:paraId="7A314489" w14:textId="77777777" w:rsidR="00836E01" w:rsidRPr="00034050" w:rsidRDefault="00836E01" w:rsidP="00E050EB">
      <w:pPr>
        <w:spacing w:after="0"/>
        <w:jc w:val="both"/>
        <w:rPr>
          <w:rFonts w:ascii="Times" w:hAnsi="Times" w:cs="Arial"/>
          <w:color w:val="595959" w:themeColor="text1" w:themeTint="A6"/>
          <w:sz w:val="24"/>
          <w:szCs w:val="24"/>
        </w:rPr>
      </w:pPr>
      <w:r w:rsidRPr="00034050">
        <w:rPr>
          <w:rFonts w:ascii="Times" w:hAnsi="Times" w:cs="Arial"/>
          <w:b/>
          <w:bCs/>
          <w:color w:val="595959" w:themeColor="text1" w:themeTint="A6"/>
          <w:sz w:val="24"/>
          <w:szCs w:val="24"/>
        </w:rPr>
        <w:t>Responsable</w:t>
      </w:r>
      <w:r w:rsidRPr="00034050">
        <w:rPr>
          <w:rFonts w:ascii="Times" w:hAnsi="Times" w:cs="Arial"/>
          <w:color w:val="595959" w:themeColor="text1" w:themeTint="A6"/>
          <w:sz w:val="24"/>
          <w:szCs w:val="24"/>
        </w:rPr>
        <w:t>: Subdirección de Información Sectorial de la SDHT</w:t>
      </w:r>
    </w:p>
    <w:p w14:paraId="4F1F23B2" w14:textId="5EA5BCAE" w:rsidR="00836E01" w:rsidRDefault="00836E01" w:rsidP="00E050EB">
      <w:pPr>
        <w:spacing w:after="0"/>
        <w:jc w:val="both"/>
        <w:rPr>
          <w:rFonts w:ascii="Times" w:hAnsi="Times" w:cs="Arial"/>
          <w:color w:val="595959" w:themeColor="text1" w:themeTint="A6"/>
          <w:sz w:val="24"/>
          <w:szCs w:val="24"/>
        </w:rPr>
      </w:pPr>
    </w:p>
    <w:p w14:paraId="174456E0" w14:textId="18C5A910" w:rsidR="00822E19" w:rsidRDefault="00822E19" w:rsidP="00E050EB">
      <w:pPr>
        <w:spacing w:after="0"/>
        <w:jc w:val="both"/>
        <w:rPr>
          <w:rFonts w:ascii="Times" w:hAnsi="Times" w:cs="Arial"/>
          <w:color w:val="595959" w:themeColor="text1" w:themeTint="A6"/>
          <w:sz w:val="24"/>
          <w:szCs w:val="24"/>
        </w:rPr>
      </w:pPr>
    </w:p>
    <w:p w14:paraId="5970318E" w14:textId="575CEFF6" w:rsidR="00822E19" w:rsidRPr="005B0823" w:rsidRDefault="009377F9" w:rsidP="00E050EB">
      <w:pPr>
        <w:pStyle w:val="NoSpacing"/>
        <w:numPr>
          <w:ilvl w:val="1"/>
          <w:numId w:val="41"/>
        </w:numPr>
        <w:spacing w:after="240"/>
        <w:ind w:left="372"/>
        <w:jc w:val="both"/>
        <w:outlineLvl w:val="1"/>
        <w:rPr>
          <w:rFonts w:asciiTheme="majorHAnsi" w:hAnsiTheme="majorHAnsi"/>
          <w:b/>
          <w:color w:val="4A442A" w:themeColor="background2" w:themeShade="40"/>
          <w:sz w:val="24"/>
          <w:szCs w:val="24"/>
        </w:rPr>
      </w:pPr>
      <w:bookmarkStart w:id="11" w:name="_Toc124321783"/>
      <w:r w:rsidRPr="005B0823">
        <w:rPr>
          <w:rFonts w:asciiTheme="majorHAnsi" w:hAnsiTheme="majorHAnsi"/>
          <w:b/>
          <w:color w:val="4A442A" w:themeColor="background2" w:themeShade="40"/>
          <w:sz w:val="24"/>
          <w:szCs w:val="24"/>
        </w:rPr>
        <w:t xml:space="preserve">Inclusión de la </w:t>
      </w:r>
      <w:r w:rsidR="00822E19" w:rsidRPr="005B0823">
        <w:rPr>
          <w:rFonts w:asciiTheme="majorHAnsi" w:hAnsiTheme="majorHAnsi"/>
          <w:b/>
          <w:color w:val="4A442A" w:themeColor="background2" w:themeShade="40"/>
          <w:sz w:val="24"/>
          <w:szCs w:val="24"/>
        </w:rPr>
        <w:t>promoción sobre el uso de los datos abiertos institucionales</w:t>
      </w:r>
      <w:r w:rsidRPr="005B0823">
        <w:rPr>
          <w:rFonts w:asciiTheme="majorHAnsi" w:hAnsiTheme="majorHAnsi"/>
          <w:b/>
          <w:color w:val="4A442A" w:themeColor="background2" w:themeShade="40"/>
          <w:sz w:val="24"/>
          <w:szCs w:val="24"/>
        </w:rPr>
        <w:t xml:space="preserve"> dentro del plan de comunicaciones de la SDHT.</w:t>
      </w:r>
      <w:bookmarkEnd w:id="11"/>
    </w:p>
    <w:p w14:paraId="243C56CE" w14:textId="2F1328EF" w:rsidR="00822E19" w:rsidRPr="00DB2646" w:rsidRDefault="00822E19" w:rsidP="00E050EB">
      <w:pPr>
        <w:pStyle w:val="NoSpacing"/>
        <w:jc w:val="both"/>
        <w:rPr>
          <w:rFonts w:ascii="Times" w:hAnsi="Times" w:cs="Arial"/>
          <w:color w:val="595959" w:themeColor="text1" w:themeTint="A6"/>
          <w:sz w:val="24"/>
          <w:szCs w:val="24"/>
        </w:rPr>
      </w:pPr>
      <w:r w:rsidRPr="00DB2646">
        <w:rPr>
          <w:rFonts w:ascii="Times" w:hAnsi="Times" w:cs="Arial"/>
          <w:color w:val="595959" w:themeColor="text1" w:themeTint="A6"/>
          <w:sz w:val="24"/>
          <w:szCs w:val="24"/>
        </w:rPr>
        <w:t xml:space="preserve">La </w:t>
      </w:r>
      <w:r>
        <w:rPr>
          <w:rFonts w:ascii="Times" w:hAnsi="Times" w:cs="Arial"/>
          <w:color w:val="595959" w:themeColor="text1" w:themeTint="A6"/>
          <w:sz w:val="24"/>
          <w:szCs w:val="24"/>
        </w:rPr>
        <w:t>promoción</w:t>
      </w:r>
      <w:r w:rsidRPr="00DB2646">
        <w:rPr>
          <w:rFonts w:ascii="Times" w:hAnsi="Times" w:cs="Arial"/>
          <w:color w:val="595959" w:themeColor="text1" w:themeTint="A6"/>
          <w:sz w:val="24"/>
          <w:szCs w:val="24"/>
        </w:rPr>
        <w:t xml:space="preserve"> de </w:t>
      </w:r>
      <w:r>
        <w:rPr>
          <w:rFonts w:ascii="Times" w:hAnsi="Times" w:cs="Arial"/>
          <w:color w:val="595959" w:themeColor="text1" w:themeTint="A6"/>
          <w:sz w:val="24"/>
          <w:szCs w:val="24"/>
        </w:rPr>
        <w:t xml:space="preserve">la </w:t>
      </w:r>
      <w:r w:rsidRPr="00DB2646">
        <w:rPr>
          <w:rFonts w:ascii="Times" w:hAnsi="Times" w:cs="Arial"/>
          <w:color w:val="595959" w:themeColor="text1" w:themeTint="A6"/>
          <w:sz w:val="24"/>
          <w:szCs w:val="24"/>
        </w:rPr>
        <w:t xml:space="preserve">información </w:t>
      </w:r>
      <w:r>
        <w:rPr>
          <w:rFonts w:ascii="Times" w:hAnsi="Times" w:cs="Arial"/>
          <w:color w:val="595959" w:themeColor="text1" w:themeTint="A6"/>
          <w:sz w:val="24"/>
          <w:szCs w:val="24"/>
        </w:rPr>
        <w:t>de los datos</w:t>
      </w:r>
      <w:r w:rsidRPr="00DB2646">
        <w:rPr>
          <w:rFonts w:ascii="Times" w:hAnsi="Times" w:cs="Arial"/>
          <w:color w:val="595959" w:themeColor="text1" w:themeTint="A6"/>
          <w:sz w:val="24"/>
          <w:szCs w:val="24"/>
        </w:rPr>
        <w:t xml:space="preserve"> se realizará a través de la página web de la </w:t>
      </w:r>
      <w:r w:rsidR="005C579C">
        <w:rPr>
          <w:rFonts w:ascii="Times" w:hAnsi="Times" w:cs="Arial"/>
          <w:color w:val="595959" w:themeColor="text1" w:themeTint="A6"/>
          <w:sz w:val="24"/>
          <w:szCs w:val="24"/>
        </w:rPr>
        <w:t>e</w:t>
      </w:r>
      <w:r w:rsidRPr="00DB2646">
        <w:rPr>
          <w:rFonts w:ascii="Times" w:hAnsi="Times" w:cs="Arial"/>
          <w:color w:val="595959" w:themeColor="text1" w:themeTint="A6"/>
          <w:sz w:val="24"/>
          <w:szCs w:val="24"/>
        </w:rPr>
        <w:t>ntidad y las redes sociales</w:t>
      </w:r>
      <w:r w:rsidR="005C579C">
        <w:rPr>
          <w:rFonts w:ascii="Times" w:hAnsi="Times" w:cs="Arial"/>
          <w:color w:val="595959" w:themeColor="text1" w:themeTint="A6"/>
          <w:sz w:val="24"/>
          <w:szCs w:val="24"/>
        </w:rPr>
        <w:t xml:space="preserve"> y se encontrará definida dentro del plan de comunicaciones de la entidad.</w:t>
      </w:r>
    </w:p>
    <w:p w14:paraId="39DAE7FD" w14:textId="77777777" w:rsidR="00822E19" w:rsidRDefault="00822E19" w:rsidP="00822E19">
      <w:pPr>
        <w:pStyle w:val="NoSpacing"/>
        <w:ind w:left="708"/>
      </w:pPr>
    </w:p>
    <w:tbl>
      <w:tblPr>
        <w:tblW w:w="8113" w:type="dxa"/>
        <w:jc w:val="center"/>
        <w:tblLayout w:type="fixed"/>
        <w:tblLook w:val="04A0" w:firstRow="1" w:lastRow="0" w:firstColumn="1" w:lastColumn="0" w:noHBand="0" w:noVBand="1"/>
      </w:tblPr>
      <w:tblGrid>
        <w:gridCol w:w="1890"/>
        <w:gridCol w:w="4590"/>
        <w:gridCol w:w="1633"/>
      </w:tblGrid>
      <w:tr w:rsidR="0058195F" w:rsidRPr="004969CB" w14:paraId="4652689D" w14:textId="77777777" w:rsidTr="00E050EB">
        <w:trPr>
          <w:trHeight w:val="686"/>
          <w:jc w:val="center"/>
        </w:trPr>
        <w:tc>
          <w:tcPr>
            <w:tcW w:w="189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E02B5DF" w14:textId="4AB8B165" w:rsidR="00822E19" w:rsidRPr="0058195F" w:rsidRDefault="00822E19" w:rsidP="00F47753">
            <w:pPr>
              <w:spacing w:after="0" w:line="240" w:lineRule="auto"/>
              <w:jc w:val="center"/>
              <w:rPr>
                <w:rFonts w:ascii="Calibri" w:eastAsia="Times New Roman" w:hAnsi="Calibri" w:cs="Calibri"/>
                <w:b/>
                <w:bCs/>
                <w:color w:val="000000"/>
                <w:sz w:val="24"/>
                <w:szCs w:val="24"/>
              </w:rPr>
            </w:pPr>
            <w:r w:rsidRPr="0058195F">
              <w:rPr>
                <w:rFonts w:ascii="Calibri" w:eastAsia="Times New Roman" w:hAnsi="Calibri" w:cs="Calibri"/>
                <w:b/>
                <w:bCs/>
                <w:color w:val="000000"/>
                <w:sz w:val="24"/>
                <w:szCs w:val="24"/>
              </w:rPr>
              <w:t>Medio de comunica</w:t>
            </w:r>
            <w:r w:rsidR="0058195F">
              <w:rPr>
                <w:rFonts w:ascii="Calibri" w:eastAsia="Times New Roman" w:hAnsi="Calibri" w:cs="Calibri"/>
                <w:b/>
                <w:bCs/>
                <w:color w:val="000000"/>
                <w:sz w:val="24"/>
                <w:szCs w:val="24"/>
              </w:rPr>
              <w:t>ción</w:t>
            </w:r>
          </w:p>
        </w:tc>
        <w:tc>
          <w:tcPr>
            <w:tcW w:w="4590" w:type="dxa"/>
            <w:tcBorders>
              <w:top w:val="single" w:sz="4" w:space="0" w:color="auto"/>
              <w:left w:val="nil"/>
              <w:bottom w:val="single" w:sz="4" w:space="0" w:color="auto"/>
              <w:right w:val="single" w:sz="4" w:space="0" w:color="auto"/>
            </w:tcBorders>
            <w:shd w:val="clear" w:color="000000" w:fill="FFFF00"/>
            <w:vAlign w:val="center"/>
            <w:hideMark/>
          </w:tcPr>
          <w:p w14:paraId="6907E122" w14:textId="77777777" w:rsidR="00822E19" w:rsidRPr="004969CB" w:rsidRDefault="00822E19" w:rsidP="00F47753">
            <w:pPr>
              <w:spacing w:after="0" w:line="240" w:lineRule="auto"/>
              <w:jc w:val="center"/>
              <w:rPr>
                <w:rFonts w:ascii="Calibri" w:eastAsia="Times New Roman" w:hAnsi="Calibri" w:cs="Calibri"/>
                <w:b/>
                <w:bCs/>
                <w:color w:val="000000"/>
                <w:sz w:val="24"/>
                <w:szCs w:val="24"/>
              </w:rPr>
            </w:pPr>
            <w:r w:rsidRPr="004969CB">
              <w:rPr>
                <w:rFonts w:ascii="Calibri" w:eastAsia="Times New Roman" w:hAnsi="Calibri" w:cs="Calibri"/>
                <w:b/>
                <w:bCs/>
                <w:color w:val="000000"/>
                <w:sz w:val="24"/>
                <w:szCs w:val="24"/>
              </w:rPr>
              <w:t>URL</w:t>
            </w:r>
          </w:p>
        </w:tc>
        <w:tc>
          <w:tcPr>
            <w:tcW w:w="1633" w:type="dxa"/>
            <w:tcBorders>
              <w:top w:val="single" w:sz="4" w:space="0" w:color="auto"/>
              <w:left w:val="nil"/>
              <w:bottom w:val="single" w:sz="4" w:space="0" w:color="auto"/>
              <w:right w:val="single" w:sz="4" w:space="0" w:color="auto"/>
            </w:tcBorders>
            <w:shd w:val="clear" w:color="000000" w:fill="FFFF00"/>
            <w:vAlign w:val="center"/>
            <w:hideMark/>
          </w:tcPr>
          <w:p w14:paraId="6E54CD3C" w14:textId="77777777" w:rsidR="00822E19" w:rsidRPr="004969CB" w:rsidRDefault="00822E19" w:rsidP="00F47753">
            <w:pPr>
              <w:spacing w:after="0" w:line="240" w:lineRule="auto"/>
              <w:jc w:val="center"/>
              <w:rPr>
                <w:rFonts w:ascii="Calibri" w:eastAsia="Times New Roman" w:hAnsi="Calibri" w:cs="Calibri"/>
                <w:b/>
                <w:bCs/>
                <w:color w:val="000000"/>
                <w:sz w:val="24"/>
                <w:szCs w:val="24"/>
              </w:rPr>
            </w:pPr>
            <w:r w:rsidRPr="004969CB">
              <w:rPr>
                <w:rFonts w:ascii="Calibri" w:eastAsia="Times New Roman" w:hAnsi="Calibri" w:cs="Calibri"/>
                <w:b/>
                <w:bCs/>
                <w:color w:val="000000"/>
                <w:sz w:val="24"/>
                <w:szCs w:val="24"/>
              </w:rPr>
              <w:t>Logro esperado</w:t>
            </w:r>
          </w:p>
        </w:tc>
      </w:tr>
      <w:tr w:rsidR="0058195F" w:rsidRPr="004969CB" w14:paraId="22333F0F" w14:textId="77777777" w:rsidTr="00E050EB">
        <w:trPr>
          <w:trHeight w:val="950"/>
          <w:jc w:val="center"/>
        </w:trPr>
        <w:tc>
          <w:tcPr>
            <w:tcW w:w="1890" w:type="dxa"/>
            <w:tcBorders>
              <w:top w:val="nil"/>
              <w:left w:val="single" w:sz="4" w:space="0" w:color="auto"/>
              <w:bottom w:val="single" w:sz="4" w:space="0" w:color="auto"/>
              <w:right w:val="single" w:sz="4" w:space="0" w:color="auto"/>
            </w:tcBorders>
            <w:shd w:val="clear" w:color="auto" w:fill="auto"/>
            <w:vAlign w:val="center"/>
            <w:hideMark/>
          </w:tcPr>
          <w:p w14:paraId="62842593" w14:textId="77777777" w:rsidR="00822E19" w:rsidRPr="004969CB" w:rsidRDefault="00822E19" w:rsidP="00F47753">
            <w:pPr>
              <w:spacing w:after="0" w:line="240" w:lineRule="auto"/>
              <w:rPr>
                <w:rFonts w:ascii="Calibri" w:eastAsia="Times New Roman" w:hAnsi="Calibri" w:cs="Calibri"/>
                <w:color w:val="000000"/>
                <w:lang w:val="es-ES"/>
              </w:rPr>
            </w:pPr>
            <w:r w:rsidRPr="004969CB">
              <w:rPr>
                <w:rFonts w:ascii="Calibri" w:eastAsia="Times New Roman" w:hAnsi="Calibri" w:cs="Calibri"/>
                <w:color w:val="000000"/>
                <w:lang w:val="es-ES"/>
              </w:rPr>
              <w:t>Página web de la entidad</w:t>
            </w:r>
          </w:p>
        </w:tc>
        <w:tc>
          <w:tcPr>
            <w:tcW w:w="4590" w:type="dxa"/>
            <w:tcBorders>
              <w:top w:val="nil"/>
              <w:left w:val="nil"/>
              <w:bottom w:val="single" w:sz="4" w:space="0" w:color="auto"/>
              <w:right w:val="single" w:sz="4" w:space="0" w:color="auto"/>
            </w:tcBorders>
            <w:shd w:val="clear" w:color="auto" w:fill="auto"/>
            <w:vAlign w:val="center"/>
            <w:hideMark/>
          </w:tcPr>
          <w:p w14:paraId="02A270BE" w14:textId="77777777" w:rsidR="00822E19" w:rsidRPr="004969CB" w:rsidRDefault="00000000" w:rsidP="00F47753">
            <w:pPr>
              <w:spacing w:after="0" w:line="240" w:lineRule="auto"/>
              <w:rPr>
                <w:rFonts w:ascii="Calibri" w:eastAsia="Times New Roman" w:hAnsi="Calibri" w:cs="Calibri"/>
                <w:color w:val="0563C1"/>
                <w:u w:val="single"/>
                <w:lang w:val="es-ES"/>
              </w:rPr>
            </w:pPr>
            <w:hyperlink r:id="rId11" w:history="1">
              <w:r w:rsidR="00822E19" w:rsidRPr="004969CB">
                <w:rPr>
                  <w:rFonts w:ascii="Calibri" w:eastAsia="Times New Roman" w:hAnsi="Calibri" w:cs="Calibri"/>
                  <w:color w:val="0563C1"/>
                  <w:u w:val="single"/>
                  <w:lang w:val="es-ES"/>
                </w:rPr>
                <w:t>https://www.habitatbogota.gov.co/transparencia/informacion-interes/datos-abiertos</w:t>
              </w:r>
            </w:hyperlink>
          </w:p>
        </w:tc>
        <w:tc>
          <w:tcPr>
            <w:tcW w:w="1633" w:type="dxa"/>
            <w:vMerge w:val="restart"/>
            <w:tcBorders>
              <w:top w:val="nil"/>
              <w:left w:val="single" w:sz="4" w:space="0" w:color="auto"/>
              <w:bottom w:val="single" w:sz="4" w:space="0" w:color="auto"/>
              <w:right w:val="single" w:sz="4" w:space="0" w:color="auto"/>
            </w:tcBorders>
            <w:shd w:val="clear" w:color="auto" w:fill="auto"/>
            <w:vAlign w:val="center"/>
            <w:hideMark/>
          </w:tcPr>
          <w:p w14:paraId="2CCBD190" w14:textId="77777777" w:rsidR="00822E19" w:rsidRPr="004969CB" w:rsidRDefault="00822E19" w:rsidP="00F47753">
            <w:pPr>
              <w:spacing w:after="0" w:line="240" w:lineRule="auto"/>
              <w:rPr>
                <w:rFonts w:ascii="Calibri" w:eastAsia="Times New Roman" w:hAnsi="Calibri" w:cs="Calibri"/>
                <w:color w:val="000000"/>
                <w:lang w:val="es-ES"/>
              </w:rPr>
            </w:pPr>
            <w:r w:rsidRPr="004969CB">
              <w:rPr>
                <w:rFonts w:ascii="Calibri" w:eastAsia="Times New Roman" w:hAnsi="Calibri" w:cs="Calibri"/>
                <w:color w:val="000000"/>
                <w:lang w:val="es-ES"/>
              </w:rPr>
              <w:t>Dar a conocer los conjuntos de datos abiertos publicados</w:t>
            </w:r>
          </w:p>
        </w:tc>
      </w:tr>
      <w:tr w:rsidR="0058195F" w:rsidRPr="004969CB" w14:paraId="15371D6B" w14:textId="77777777" w:rsidTr="00E050EB">
        <w:trPr>
          <w:trHeight w:val="620"/>
          <w:jc w:val="center"/>
        </w:trPr>
        <w:tc>
          <w:tcPr>
            <w:tcW w:w="1890" w:type="dxa"/>
            <w:tcBorders>
              <w:top w:val="nil"/>
              <w:left w:val="single" w:sz="4" w:space="0" w:color="auto"/>
              <w:bottom w:val="single" w:sz="4" w:space="0" w:color="auto"/>
              <w:right w:val="single" w:sz="4" w:space="0" w:color="auto"/>
            </w:tcBorders>
            <w:shd w:val="clear" w:color="auto" w:fill="auto"/>
            <w:vAlign w:val="center"/>
            <w:hideMark/>
          </w:tcPr>
          <w:p w14:paraId="2306E058" w14:textId="77777777" w:rsidR="00822E19" w:rsidRPr="004969CB" w:rsidRDefault="00822E19" w:rsidP="00F47753">
            <w:pPr>
              <w:spacing w:after="0" w:line="240" w:lineRule="auto"/>
              <w:rPr>
                <w:rFonts w:ascii="Calibri" w:eastAsia="Times New Roman" w:hAnsi="Calibri" w:cs="Calibri"/>
                <w:color w:val="000000"/>
              </w:rPr>
            </w:pPr>
            <w:r w:rsidRPr="004969CB">
              <w:rPr>
                <w:rFonts w:ascii="Calibri" w:eastAsia="Times New Roman" w:hAnsi="Calibri" w:cs="Calibri"/>
                <w:color w:val="000000"/>
              </w:rPr>
              <w:t>Redes Sociales</w:t>
            </w:r>
          </w:p>
        </w:tc>
        <w:tc>
          <w:tcPr>
            <w:tcW w:w="4590" w:type="dxa"/>
            <w:tcBorders>
              <w:top w:val="nil"/>
              <w:left w:val="nil"/>
              <w:bottom w:val="single" w:sz="4" w:space="0" w:color="auto"/>
              <w:right w:val="single" w:sz="4" w:space="0" w:color="auto"/>
            </w:tcBorders>
            <w:shd w:val="clear" w:color="auto" w:fill="auto"/>
            <w:vAlign w:val="center"/>
            <w:hideMark/>
          </w:tcPr>
          <w:p w14:paraId="59D944CB" w14:textId="77777777" w:rsidR="00822E19" w:rsidRPr="004969CB" w:rsidRDefault="00822E19" w:rsidP="00F47753">
            <w:pPr>
              <w:spacing w:after="0" w:line="240" w:lineRule="auto"/>
              <w:rPr>
                <w:rFonts w:ascii="Calibri" w:eastAsia="Times New Roman" w:hAnsi="Calibri" w:cs="Calibri"/>
                <w:color w:val="000000"/>
              </w:rPr>
            </w:pPr>
            <w:r w:rsidRPr="004969CB">
              <w:rPr>
                <w:rFonts w:ascii="Calibri" w:eastAsia="Times New Roman" w:hAnsi="Calibri" w:cs="Calibri"/>
                <w:color w:val="000000"/>
              </w:rPr>
              <w:t> </w:t>
            </w:r>
            <w:r>
              <w:rPr>
                <w:rFonts w:ascii="Calibri" w:eastAsia="Times New Roman" w:hAnsi="Calibri" w:cs="Calibri"/>
                <w:color w:val="000000"/>
              </w:rPr>
              <w:t>@Habitatbogota</w:t>
            </w:r>
          </w:p>
        </w:tc>
        <w:tc>
          <w:tcPr>
            <w:tcW w:w="1633" w:type="dxa"/>
            <w:vMerge/>
            <w:tcBorders>
              <w:top w:val="nil"/>
              <w:left w:val="single" w:sz="4" w:space="0" w:color="auto"/>
              <w:bottom w:val="single" w:sz="4" w:space="0" w:color="auto"/>
              <w:right w:val="single" w:sz="4" w:space="0" w:color="auto"/>
            </w:tcBorders>
            <w:vAlign w:val="center"/>
            <w:hideMark/>
          </w:tcPr>
          <w:p w14:paraId="7F30FBC1" w14:textId="77777777" w:rsidR="00822E19" w:rsidRPr="004969CB" w:rsidRDefault="00822E19" w:rsidP="00F47753">
            <w:pPr>
              <w:spacing w:after="0" w:line="240" w:lineRule="auto"/>
              <w:rPr>
                <w:rFonts w:ascii="Calibri" w:eastAsia="Times New Roman" w:hAnsi="Calibri" w:cs="Calibri"/>
                <w:color w:val="000000"/>
              </w:rPr>
            </w:pPr>
          </w:p>
        </w:tc>
      </w:tr>
    </w:tbl>
    <w:p w14:paraId="7E70408C" w14:textId="77777777" w:rsidR="00822E19" w:rsidRDefault="00822E19" w:rsidP="00822E19">
      <w:pPr>
        <w:pStyle w:val="NoSpacing"/>
        <w:ind w:left="708"/>
      </w:pPr>
    </w:p>
    <w:p w14:paraId="33694148" w14:textId="18BC9410" w:rsidR="00822E19" w:rsidRPr="00034050" w:rsidRDefault="00822E19" w:rsidP="00E050EB">
      <w:pPr>
        <w:spacing w:after="0"/>
        <w:jc w:val="both"/>
        <w:rPr>
          <w:rFonts w:ascii="Times" w:hAnsi="Times" w:cs="Arial"/>
          <w:color w:val="595959" w:themeColor="text1" w:themeTint="A6"/>
          <w:sz w:val="24"/>
          <w:szCs w:val="24"/>
        </w:rPr>
      </w:pPr>
      <w:r w:rsidRPr="00034050">
        <w:rPr>
          <w:rFonts w:ascii="Times" w:hAnsi="Times" w:cs="Arial"/>
          <w:b/>
          <w:bCs/>
          <w:color w:val="595959" w:themeColor="text1" w:themeTint="A6"/>
          <w:sz w:val="24"/>
          <w:szCs w:val="24"/>
        </w:rPr>
        <w:t>Responsable</w:t>
      </w:r>
      <w:r w:rsidRPr="00034050">
        <w:rPr>
          <w:rFonts w:ascii="Times" w:hAnsi="Times" w:cs="Arial"/>
          <w:color w:val="595959" w:themeColor="text1" w:themeTint="A6"/>
          <w:sz w:val="24"/>
          <w:szCs w:val="24"/>
        </w:rPr>
        <w:t>: Subdirección de Información Sectorial de la SDHT</w:t>
      </w:r>
    </w:p>
    <w:p w14:paraId="67FA3BE6" w14:textId="77777777" w:rsidR="00822E19" w:rsidRPr="00034050" w:rsidRDefault="00822E19" w:rsidP="00E050EB">
      <w:pPr>
        <w:spacing w:after="0"/>
        <w:jc w:val="both"/>
        <w:rPr>
          <w:rFonts w:ascii="Times" w:hAnsi="Times" w:cs="Arial"/>
          <w:color w:val="595959" w:themeColor="text1" w:themeTint="A6"/>
          <w:sz w:val="24"/>
          <w:szCs w:val="24"/>
        </w:rPr>
      </w:pPr>
    </w:p>
    <w:p w14:paraId="05D8D11B" w14:textId="77777777" w:rsidR="00822E19" w:rsidRPr="00C8566C" w:rsidRDefault="00822E19" w:rsidP="00E050EB">
      <w:pPr>
        <w:spacing w:after="0"/>
        <w:jc w:val="both"/>
        <w:rPr>
          <w:rFonts w:ascii="Times" w:hAnsi="Times" w:cs="Arial"/>
          <w:color w:val="595959" w:themeColor="text1" w:themeTint="A6"/>
          <w:sz w:val="24"/>
          <w:szCs w:val="24"/>
        </w:rPr>
      </w:pPr>
      <w:r w:rsidRPr="00C8566C">
        <w:rPr>
          <w:rFonts w:ascii="Times" w:hAnsi="Times" w:cs="Arial"/>
          <w:b/>
          <w:bCs/>
          <w:color w:val="595959" w:themeColor="text1" w:themeTint="A6"/>
          <w:sz w:val="24"/>
          <w:szCs w:val="24"/>
        </w:rPr>
        <w:t xml:space="preserve">Actores adicionales: Oficina Asesora de Comunicaciones de la SDHT – </w:t>
      </w:r>
      <w:r w:rsidRPr="00C8566C">
        <w:rPr>
          <w:rFonts w:ascii="Times" w:hAnsi="Times" w:cs="Arial"/>
          <w:color w:val="595959" w:themeColor="text1" w:themeTint="A6"/>
          <w:sz w:val="24"/>
          <w:szCs w:val="24"/>
        </w:rPr>
        <w:t>Aportando los canales de comunicación necesarios para socializar la información.</w:t>
      </w:r>
    </w:p>
    <w:p w14:paraId="3BAF9191" w14:textId="7437ECE9" w:rsidR="00822E19" w:rsidRDefault="00822E19" w:rsidP="00E050EB">
      <w:pPr>
        <w:spacing w:after="0"/>
        <w:jc w:val="both"/>
        <w:rPr>
          <w:rFonts w:ascii="Times" w:hAnsi="Times" w:cs="Arial"/>
          <w:color w:val="595959" w:themeColor="text1" w:themeTint="A6"/>
          <w:sz w:val="24"/>
          <w:szCs w:val="24"/>
        </w:rPr>
      </w:pPr>
    </w:p>
    <w:p w14:paraId="2EBED271" w14:textId="77777777" w:rsidR="000150E0" w:rsidRPr="00034050" w:rsidRDefault="000150E0" w:rsidP="00836E01">
      <w:pPr>
        <w:spacing w:after="0"/>
        <w:ind w:left="708"/>
        <w:jc w:val="both"/>
        <w:rPr>
          <w:rFonts w:ascii="Times" w:hAnsi="Times" w:cs="Arial"/>
          <w:color w:val="595959" w:themeColor="text1" w:themeTint="A6"/>
          <w:sz w:val="24"/>
          <w:szCs w:val="24"/>
        </w:rPr>
      </w:pPr>
    </w:p>
    <w:p w14:paraId="7D25C8F6" w14:textId="4681CF54" w:rsidR="001614DA" w:rsidRPr="00AE1578" w:rsidRDefault="001614DA" w:rsidP="00842F9E">
      <w:pPr>
        <w:pStyle w:val="NoSpacing"/>
        <w:numPr>
          <w:ilvl w:val="0"/>
          <w:numId w:val="41"/>
        </w:numPr>
        <w:spacing w:after="240"/>
        <w:outlineLvl w:val="0"/>
        <w:rPr>
          <w:rFonts w:asciiTheme="majorHAnsi" w:hAnsiTheme="majorHAnsi"/>
          <w:b/>
          <w:color w:val="4A442A" w:themeColor="background2" w:themeShade="40"/>
          <w:sz w:val="32"/>
          <w:szCs w:val="32"/>
        </w:rPr>
      </w:pPr>
      <w:bookmarkStart w:id="12" w:name="_Toc124321784"/>
      <w:r>
        <w:rPr>
          <w:rFonts w:asciiTheme="majorHAnsi" w:hAnsiTheme="majorHAnsi"/>
          <w:b/>
          <w:color w:val="4A442A" w:themeColor="background2" w:themeShade="40"/>
          <w:sz w:val="32"/>
          <w:szCs w:val="32"/>
        </w:rPr>
        <w:t>Cronograma de la estrategia de uso de datos abiertos de la SDHT</w:t>
      </w:r>
      <w:bookmarkEnd w:id="12"/>
    </w:p>
    <w:p w14:paraId="77A9115E" w14:textId="37D4FCB5" w:rsidR="001614DA" w:rsidRPr="001614DA" w:rsidRDefault="001614DA" w:rsidP="001614DA">
      <w:pPr>
        <w:spacing w:after="0"/>
        <w:jc w:val="both"/>
        <w:rPr>
          <w:rFonts w:ascii="Times" w:hAnsi="Times" w:cs="Arial"/>
          <w:color w:val="595959" w:themeColor="text1" w:themeTint="A6"/>
          <w:sz w:val="24"/>
          <w:szCs w:val="24"/>
        </w:rPr>
      </w:pPr>
      <w:r>
        <w:rPr>
          <w:rFonts w:ascii="Times" w:hAnsi="Times" w:cs="Arial"/>
          <w:color w:val="595959" w:themeColor="text1" w:themeTint="A6"/>
          <w:sz w:val="24"/>
          <w:szCs w:val="24"/>
        </w:rPr>
        <w:t>De acuerdo con la estrategia presentada en el grupo anterior</w:t>
      </w:r>
      <w:r w:rsidR="00F509BC">
        <w:rPr>
          <w:rFonts w:ascii="Times" w:hAnsi="Times" w:cs="Arial"/>
          <w:color w:val="595959" w:themeColor="text1" w:themeTint="A6"/>
          <w:sz w:val="24"/>
          <w:szCs w:val="24"/>
        </w:rPr>
        <w:t xml:space="preserve"> a</w:t>
      </w:r>
      <w:r>
        <w:rPr>
          <w:rFonts w:ascii="Times" w:hAnsi="Times" w:cs="Arial"/>
          <w:color w:val="595959" w:themeColor="text1" w:themeTint="A6"/>
          <w:sz w:val="24"/>
          <w:szCs w:val="24"/>
        </w:rPr>
        <w:t xml:space="preserve"> </w:t>
      </w:r>
      <w:r w:rsidR="00F509BC">
        <w:rPr>
          <w:rFonts w:ascii="Times" w:hAnsi="Times" w:cs="Arial"/>
          <w:color w:val="595959" w:themeColor="text1" w:themeTint="A6"/>
          <w:sz w:val="24"/>
          <w:szCs w:val="24"/>
        </w:rPr>
        <w:t>continuación,</w:t>
      </w:r>
      <w:r>
        <w:rPr>
          <w:rFonts w:ascii="Times" w:hAnsi="Times" w:cs="Arial"/>
          <w:color w:val="595959" w:themeColor="text1" w:themeTint="A6"/>
          <w:sz w:val="24"/>
          <w:szCs w:val="24"/>
        </w:rPr>
        <w:t xml:space="preserve"> se muestra el cronograma para su realización:</w:t>
      </w:r>
    </w:p>
    <w:p w14:paraId="7CFB974A" w14:textId="0F948D44" w:rsidR="001614DA" w:rsidRPr="001614DA" w:rsidRDefault="009522EB" w:rsidP="00FE1C42">
      <w:pPr>
        <w:pStyle w:val="NoSpacing"/>
        <w:spacing w:after="240"/>
        <w:jc w:val="both"/>
        <w:rPr>
          <w:rFonts w:asciiTheme="majorHAnsi" w:hAnsiTheme="majorHAnsi"/>
          <w:bCs/>
          <w:color w:val="4A442A" w:themeColor="background2" w:themeShade="40"/>
          <w:sz w:val="36"/>
          <w:szCs w:val="36"/>
        </w:rPr>
      </w:pPr>
      <w:r w:rsidRPr="009522EB">
        <w:rPr>
          <w:noProof/>
        </w:rPr>
        <w:drawing>
          <wp:inline distT="0" distB="0" distL="0" distR="0" wp14:anchorId="35B32B9E" wp14:editId="290FF429">
            <wp:extent cx="5612130" cy="26162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2130" cy="2616200"/>
                    </a:xfrm>
                    <a:prstGeom prst="rect">
                      <a:avLst/>
                    </a:prstGeom>
                    <a:noFill/>
                    <a:ln>
                      <a:noFill/>
                    </a:ln>
                  </pic:spPr>
                </pic:pic>
              </a:graphicData>
            </a:graphic>
          </wp:inline>
        </w:drawing>
      </w:r>
    </w:p>
    <w:p w14:paraId="4F6C1FA5" w14:textId="699C0028" w:rsidR="00390FA4" w:rsidRDefault="00390FA4" w:rsidP="006572C2">
      <w:pPr>
        <w:spacing w:after="0"/>
        <w:ind w:left="708"/>
        <w:jc w:val="both"/>
        <w:rPr>
          <w:rFonts w:ascii="Times" w:hAnsi="Times" w:cs="Arial"/>
          <w:b/>
          <w:bCs/>
          <w:color w:val="595959" w:themeColor="text1" w:themeTint="A6"/>
          <w:sz w:val="24"/>
          <w:szCs w:val="24"/>
        </w:rPr>
      </w:pPr>
    </w:p>
    <w:p w14:paraId="3B225324" w14:textId="77777777" w:rsidR="00AE1578" w:rsidRPr="00AE1578" w:rsidRDefault="00AE1578" w:rsidP="00842F9E">
      <w:pPr>
        <w:pStyle w:val="NoSpacing"/>
        <w:numPr>
          <w:ilvl w:val="0"/>
          <w:numId w:val="41"/>
        </w:numPr>
        <w:spacing w:after="240"/>
        <w:outlineLvl w:val="0"/>
        <w:rPr>
          <w:rFonts w:asciiTheme="majorHAnsi" w:hAnsiTheme="majorHAnsi"/>
          <w:b/>
          <w:color w:val="4A442A" w:themeColor="background2" w:themeShade="40"/>
          <w:sz w:val="32"/>
          <w:szCs w:val="32"/>
        </w:rPr>
      </w:pPr>
      <w:bookmarkStart w:id="13" w:name="_Toc124321785"/>
      <w:r>
        <w:rPr>
          <w:rFonts w:asciiTheme="majorHAnsi" w:hAnsiTheme="majorHAnsi"/>
          <w:b/>
          <w:color w:val="4A442A" w:themeColor="background2" w:themeShade="40"/>
          <w:sz w:val="32"/>
          <w:szCs w:val="32"/>
        </w:rPr>
        <w:t>Indicadores</w:t>
      </w:r>
      <w:bookmarkEnd w:id="13"/>
    </w:p>
    <w:p w14:paraId="2EDC5DAD" w14:textId="749BF846" w:rsidR="00AE1578" w:rsidRDefault="00AE1578" w:rsidP="00AE1578">
      <w:pPr>
        <w:spacing w:after="0"/>
        <w:jc w:val="both"/>
        <w:rPr>
          <w:rFonts w:ascii="Times" w:hAnsi="Times" w:cs="Arial"/>
          <w:color w:val="595959" w:themeColor="text1" w:themeTint="A6"/>
          <w:sz w:val="24"/>
          <w:szCs w:val="24"/>
        </w:rPr>
      </w:pPr>
      <w:r>
        <w:rPr>
          <w:rFonts w:ascii="Times" w:hAnsi="Times" w:cs="Arial"/>
          <w:color w:val="595959" w:themeColor="text1" w:themeTint="A6"/>
          <w:sz w:val="24"/>
          <w:szCs w:val="24"/>
        </w:rPr>
        <w:t xml:space="preserve">El </w:t>
      </w:r>
      <w:r>
        <w:rPr>
          <w:rFonts w:ascii="Times" w:hAnsi="Times" w:cs="Arial"/>
          <w:color w:val="595959" w:themeColor="text1" w:themeTint="A6"/>
          <w:sz w:val="24"/>
          <w:szCs w:val="24"/>
        </w:rPr>
        <w:t>plan de apertura, mejora y uso de datos abiertos para la SDHT se medirá de la siguiente manera:</w:t>
      </w:r>
    </w:p>
    <w:p w14:paraId="1E9098DB" w14:textId="2C44D41D" w:rsidR="00AE1578" w:rsidRDefault="00AE1578" w:rsidP="00AE1578">
      <w:pPr>
        <w:spacing w:after="0"/>
        <w:jc w:val="both"/>
        <w:rPr>
          <w:rFonts w:ascii="Times" w:hAnsi="Times" w:cs="Arial"/>
          <w:color w:val="595959" w:themeColor="text1" w:themeTint="A6"/>
          <w:sz w:val="24"/>
          <w:szCs w:val="24"/>
        </w:rPr>
      </w:pPr>
    </w:p>
    <w:p w14:paraId="678A2C1B" w14:textId="3DF7CB27" w:rsidR="00AE1578" w:rsidRDefault="00AE1578" w:rsidP="00AE1578">
      <w:pPr>
        <w:pStyle w:val="ListParagraph"/>
        <w:numPr>
          <w:ilvl w:val="0"/>
          <w:numId w:val="40"/>
        </w:numPr>
        <w:spacing w:after="0"/>
        <w:jc w:val="both"/>
        <w:rPr>
          <w:rFonts w:ascii="Times" w:hAnsi="Times" w:cs="Arial"/>
          <w:color w:val="595959" w:themeColor="text1" w:themeTint="A6"/>
          <w:sz w:val="24"/>
          <w:szCs w:val="24"/>
        </w:rPr>
      </w:pPr>
      <w:r>
        <w:rPr>
          <w:rFonts w:ascii="Times" w:hAnsi="Times" w:cs="Arial"/>
          <w:color w:val="595959" w:themeColor="text1" w:themeTint="A6"/>
          <w:sz w:val="24"/>
          <w:szCs w:val="24"/>
        </w:rPr>
        <w:t>Indicador de cumplimiento del plan:</w:t>
      </w:r>
    </w:p>
    <w:p w14:paraId="66395F79" w14:textId="2055ED3F" w:rsidR="00AE1578" w:rsidRDefault="00AE1578" w:rsidP="00AE1578">
      <w:pPr>
        <w:spacing w:after="0"/>
        <w:jc w:val="both"/>
        <w:rPr>
          <w:rFonts w:ascii="Times" w:hAnsi="Times" w:cs="Arial"/>
          <w:color w:val="595959" w:themeColor="text1" w:themeTint="A6"/>
          <w:sz w:val="24"/>
          <w:szCs w:val="24"/>
        </w:rPr>
      </w:pPr>
    </w:p>
    <w:p w14:paraId="1B7B4A54" w14:textId="7E7DC9AF" w:rsidR="00AE1578" w:rsidRPr="00AE1578" w:rsidRDefault="00AE1578" w:rsidP="00AE1578">
      <w:pPr>
        <w:spacing w:after="0"/>
        <w:jc w:val="both"/>
        <w:rPr>
          <w:rFonts w:ascii="Times" w:hAnsi="Times" w:cs="Arial"/>
          <w:color w:val="595959" w:themeColor="text1" w:themeTint="A6"/>
          <w:sz w:val="24"/>
          <w:szCs w:val="24"/>
        </w:rPr>
      </w:pPr>
      <w:r w:rsidRPr="00AE1578">
        <w:rPr>
          <w:rFonts w:ascii="Times" w:hAnsi="Times" w:cs="Arial"/>
          <w:color w:val="595959" w:themeColor="text1" w:themeTint="A6"/>
          <w:sz w:val="24"/>
          <w:szCs w:val="24"/>
        </w:rPr>
        <w:t xml:space="preserve">Cantidad de </w:t>
      </w:r>
      <w:r w:rsidRPr="00AE1578">
        <w:rPr>
          <w:rFonts w:ascii="Times" w:hAnsi="Times" w:cs="Arial"/>
          <w:color w:val="595959" w:themeColor="text1" w:themeTint="A6"/>
          <w:sz w:val="24"/>
          <w:szCs w:val="24"/>
        </w:rPr>
        <w:t xml:space="preserve">actividades ejecutadas del plan / </w:t>
      </w:r>
      <w:r w:rsidRPr="00AE1578">
        <w:rPr>
          <w:rFonts w:ascii="Times" w:hAnsi="Times" w:cs="Arial"/>
          <w:color w:val="595959" w:themeColor="text1" w:themeTint="A6"/>
          <w:sz w:val="24"/>
          <w:szCs w:val="24"/>
        </w:rPr>
        <w:t>Cantidad de a</w:t>
      </w:r>
      <w:r w:rsidRPr="00AE1578">
        <w:rPr>
          <w:rFonts w:ascii="Times" w:hAnsi="Times" w:cs="Arial"/>
          <w:color w:val="595959" w:themeColor="text1" w:themeTint="A6"/>
          <w:sz w:val="24"/>
          <w:szCs w:val="24"/>
        </w:rPr>
        <w:t xml:space="preserve">ctividades Programadas </w:t>
      </w:r>
    </w:p>
    <w:p w14:paraId="20BEE6D5" w14:textId="4152CD84" w:rsidR="009522EB" w:rsidRDefault="009522EB">
      <w:pPr>
        <w:rPr>
          <w:rFonts w:ascii="Times" w:hAnsi="Times" w:cs="Arial"/>
          <w:b/>
          <w:bCs/>
          <w:color w:val="595959" w:themeColor="text1" w:themeTint="A6"/>
          <w:sz w:val="24"/>
          <w:szCs w:val="24"/>
        </w:rPr>
      </w:pPr>
      <w:r>
        <w:rPr>
          <w:rFonts w:ascii="Times" w:hAnsi="Times" w:cs="Arial"/>
          <w:b/>
          <w:bCs/>
          <w:color w:val="595959" w:themeColor="text1" w:themeTint="A6"/>
          <w:sz w:val="24"/>
          <w:szCs w:val="24"/>
        </w:rPr>
        <w:br w:type="page"/>
      </w:r>
    </w:p>
    <w:p w14:paraId="20A32702" w14:textId="77777777" w:rsidR="000150E0" w:rsidRDefault="000150E0" w:rsidP="006572C2">
      <w:pPr>
        <w:spacing w:after="0"/>
        <w:ind w:left="708"/>
        <w:jc w:val="both"/>
        <w:rPr>
          <w:rFonts w:ascii="Times" w:hAnsi="Times" w:cs="Arial"/>
          <w:b/>
          <w:bCs/>
          <w:color w:val="595959" w:themeColor="text1" w:themeTint="A6"/>
          <w:sz w:val="24"/>
          <w:szCs w:val="24"/>
        </w:rPr>
      </w:pPr>
    </w:p>
    <w:p w14:paraId="5E61675C" w14:textId="59C72497" w:rsidR="000150E0" w:rsidRDefault="000150E0" w:rsidP="006572C2">
      <w:pPr>
        <w:spacing w:after="0"/>
        <w:ind w:left="708"/>
        <w:jc w:val="both"/>
        <w:rPr>
          <w:rFonts w:ascii="Times" w:hAnsi="Times" w:cs="Arial"/>
          <w:b/>
          <w:bCs/>
          <w:color w:val="595959" w:themeColor="text1" w:themeTint="A6"/>
          <w:sz w:val="24"/>
          <w:szCs w:val="24"/>
        </w:rPr>
      </w:pPr>
    </w:p>
    <w:p w14:paraId="47D38B79" w14:textId="199A79E6" w:rsidR="000150E0" w:rsidRDefault="000150E0" w:rsidP="006572C2">
      <w:pPr>
        <w:spacing w:after="0"/>
        <w:ind w:left="708"/>
        <w:jc w:val="both"/>
        <w:rPr>
          <w:rFonts w:ascii="Times" w:hAnsi="Times" w:cs="Arial"/>
          <w:b/>
          <w:bCs/>
          <w:color w:val="595959" w:themeColor="text1" w:themeTint="A6"/>
          <w:sz w:val="24"/>
          <w:szCs w:val="24"/>
        </w:rPr>
      </w:pPr>
    </w:p>
    <w:p w14:paraId="616A50FC" w14:textId="77777777" w:rsidR="000150E0" w:rsidRPr="00034050" w:rsidRDefault="000150E0" w:rsidP="006572C2">
      <w:pPr>
        <w:spacing w:after="0"/>
        <w:ind w:left="708"/>
        <w:jc w:val="both"/>
        <w:rPr>
          <w:rFonts w:ascii="Times" w:hAnsi="Times" w:cs="Arial"/>
          <w:b/>
          <w:bCs/>
          <w:color w:val="595959" w:themeColor="text1" w:themeTint="A6"/>
          <w:sz w:val="24"/>
          <w:szCs w:val="24"/>
        </w:rPr>
      </w:pPr>
    </w:p>
    <w:p w14:paraId="364F095A" w14:textId="54EA8D35" w:rsidR="000463FE" w:rsidRPr="00F22CC9" w:rsidRDefault="000463FE" w:rsidP="00842F9E">
      <w:pPr>
        <w:pStyle w:val="NoSpacing"/>
        <w:numPr>
          <w:ilvl w:val="0"/>
          <w:numId w:val="41"/>
        </w:numPr>
        <w:spacing w:after="240"/>
        <w:outlineLvl w:val="0"/>
        <w:rPr>
          <w:rFonts w:asciiTheme="majorHAnsi" w:hAnsiTheme="majorHAnsi"/>
          <w:b/>
          <w:color w:val="4A442A" w:themeColor="background2" w:themeShade="40"/>
          <w:sz w:val="32"/>
          <w:szCs w:val="32"/>
        </w:rPr>
      </w:pPr>
      <w:bookmarkStart w:id="14" w:name="_Toc124321786"/>
      <w:r w:rsidRPr="00F22CC9">
        <w:rPr>
          <w:rFonts w:asciiTheme="majorHAnsi" w:hAnsiTheme="majorHAnsi"/>
          <w:b/>
          <w:color w:val="4A442A" w:themeColor="background2" w:themeShade="40"/>
          <w:sz w:val="32"/>
          <w:szCs w:val="32"/>
        </w:rPr>
        <w:t>Glosario</w:t>
      </w:r>
      <w:bookmarkEnd w:id="14"/>
    </w:p>
    <w:p w14:paraId="7F36F42F" w14:textId="7A429C8B" w:rsidR="000463FE" w:rsidRDefault="000463FE" w:rsidP="004F7224">
      <w:pPr>
        <w:autoSpaceDE w:val="0"/>
        <w:autoSpaceDN w:val="0"/>
        <w:adjustRightInd w:val="0"/>
        <w:spacing w:after="0" w:line="240" w:lineRule="auto"/>
        <w:rPr>
          <w:rFonts w:ascii="Times" w:hAnsi="Times" w:cs="Arial"/>
          <w:color w:val="595959" w:themeColor="text1" w:themeTint="A6"/>
          <w:sz w:val="24"/>
          <w:szCs w:val="24"/>
        </w:rPr>
      </w:pPr>
    </w:p>
    <w:p w14:paraId="05222EB3" w14:textId="77777777" w:rsidR="000463FE" w:rsidRPr="000463FE" w:rsidRDefault="000463FE" w:rsidP="00684C0E">
      <w:pPr>
        <w:pStyle w:val="Default"/>
        <w:numPr>
          <w:ilvl w:val="1"/>
          <w:numId w:val="29"/>
        </w:numPr>
        <w:spacing w:line="276" w:lineRule="auto"/>
        <w:jc w:val="both"/>
        <w:rPr>
          <w:rFonts w:ascii="Times" w:hAnsi="Times" w:cs="Arial"/>
          <w:color w:val="595959" w:themeColor="text1" w:themeTint="A6"/>
        </w:rPr>
      </w:pPr>
      <w:r w:rsidRPr="00D54839">
        <w:rPr>
          <w:rFonts w:ascii="Times" w:hAnsi="Times" w:cs="Arial"/>
          <w:b/>
          <w:bCs/>
          <w:color w:val="595959" w:themeColor="text1" w:themeTint="A6"/>
        </w:rPr>
        <w:t>Federación de portales de datos abiertos</w:t>
      </w:r>
      <w:r w:rsidRPr="000463FE">
        <w:rPr>
          <w:rFonts w:ascii="Times" w:hAnsi="Times" w:cs="Arial"/>
          <w:color w:val="595959" w:themeColor="text1" w:themeTint="A6"/>
        </w:rPr>
        <w:t xml:space="preserve">: este proceso consiste en referenciar o enlazar conjuntos de datos de portales externos de datos abiertos, de tal manera que se puedan acceder desde www.datos.gov.co, unificando el acceso a los datos e integrando las iniciativas locales de datos abiertos del sector público. </w:t>
      </w:r>
    </w:p>
    <w:p w14:paraId="66B0933C" w14:textId="77777777" w:rsidR="001614DA" w:rsidRDefault="001614DA" w:rsidP="00684C0E">
      <w:pPr>
        <w:autoSpaceDE w:val="0"/>
        <w:autoSpaceDN w:val="0"/>
        <w:adjustRightInd w:val="0"/>
        <w:spacing w:after="0"/>
        <w:jc w:val="both"/>
        <w:rPr>
          <w:rFonts w:ascii="Times" w:hAnsi="Times" w:cs="Arial"/>
          <w:color w:val="595959" w:themeColor="text1" w:themeTint="A6"/>
          <w:sz w:val="24"/>
          <w:szCs w:val="24"/>
        </w:rPr>
      </w:pPr>
    </w:p>
    <w:p w14:paraId="687C68DE" w14:textId="0330155F" w:rsidR="000463FE" w:rsidRDefault="000463FE" w:rsidP="00684C0E">
      <w:pPr>
        <w:autoSpaceDE w:val="0"/>
        <w:autoSpaceDN w:val="0"/>
        <w:adjustRightInd w:val="0"/>
        <w:spacing w:after="0"/>
        <w:jc w:val="both"/>
        <w:rPr>
          <w:rFonts w:ascii="Times" w:hAnsi="Times" w:cs="Arial"/>
          <w:color w:val="595959" w:themeColor="text1" w:themeTint="A6"/>
          <w:sz w:val="24"/>
          <w:szCs w:val="24"/>
        </w:rPr>
      </w:pPr>
      <w:r w:rsidRPr="000463FE">
        <w:rPr>
          <w:rFonts w:ascii="Times" w:hAnsi="Times" w:cs="Arial"/>
          <w:color w:val="595959" w:themeColor="text1" w:themeTint="A6"/>
          <w:sz w:val="24"/>
          <w:szCs w:val="24"/>
        </w:rPr>
        <w:t>Para llevar a cabo este proceso es necesario que el portal de datos externo cuente con el estándar de metadatos DCAT y se realice el proceso que se describe en el manual de federación.</w:t>
      </w:r>
    </w:p>
    <w:p w14:paraId="2951CB11" w14:textId="41E82205" w:rsidR="00D54839" w:rsidRDefault="00D54839" w:rsidP="00684C0E">
      <w:pPr>
        <w:autoSpaceDE w:val="0"/>
        <w:autoSpaceDN w:val="0"/>
        <w:adjustRightInd w:val="0"/>
        <w:spacing w:after="0"/>
        <w:jc w:val="both"/>
        <w:rPr>
          <w:rFonts w:ascii="Times" w:hAnsi="Times" w:cs="Arial"/>
          <w:color w:val="595959" w:themeColor="text1" w:themeTint="A6"/>
          <w:sz w:val="24"/>
          <w:szCs w:val="24"/>
        </w:rPr>
      </w:pPr>
    </w:p>
    <w:p w14:paraId="1F4CC6FF" w14:textId="77777777" w:rsidR="00D54839" w:rsidRDefault="00D54839" w:rsidP="00684C0E">
      <w:pPr>
        <w:pStyle w:val="Default"/>
        <w:numPr>
          <w:ilvl w:val="1"/>
          <w:numId w:val="29"/>
        </w:numPr>
        <w:spacing w:after="240" w:line="276" w:lineRule="auto"/>
        <w:jc w:val="both"/>
        <w:rPr>
          <w:rFonts w:ascii="Times" w:hAnsi="Times" w:cs="Arial"/>
          <w:b/>
          <w:bCs/>
          <w:color w:val="595959" w:themeColor="text1" w:themeTint="A6"/>
        </w:rPr>
      </w:pPr>
      <w:r w:rsidRPr="00D54839">
        <w:rPr>
          <w:rFonts w:ascii="Times" w:hAnsi="Times" w:cs="Arial"/>
          <w:b/>
          <w:bCs/>
          <w:color w:val="595959" w:themeColor="text1" w:themeTint="A6"/>
        </w:rPr>
        <w:t xml:space="preserve">Conjunto de datos: </w:t>
      </w:r>
      <w:r w:rsidRPr="00D54839">
        <w:rPr>
          <w:rFonts w:ascii="Times" w:hAnsi="Times" w:cs="Arial"/>
          <w:color w:val="595959" w:themeColor="text1" w:themeTint="A6"/>
        </w:rPr>
        <w:t>Unidad mínima de información sujeta a carga, publicación, transformación y descarga en plataformas institucionales.</w:t>
      </w:r>
      <w:r w:rsidRPr="00D54839">
        <w:rPr>
          <w:rFonts w:ascii="Times" w:hAnsi="Times" w:cs="Arial"/>
          <w:b/>
          <w:bCs/>
          <w:color w:val="595959" w:themeColor="text1" w:themeTint="A6"/>
        </w:rPr>
        <w:t xml:space="preserve"> </w:t>
      </w:r>
    </w:p>
    <w:p w14:paraId="4CD7B3C1" w14:textId="77777777" w:rsidR="00D54839" w:rsidRPr="00D54839" w:rsidRDefault="00D54839" w:rsidP="00684C0E">
      <w:pPr>
        <w:pStyle w:val="Default"/>
        <w:numPr>
          <w:ilvl w:val="1"/>
          <w:numId w:val="29"/>
        </w:numPr>
        <w:spacing w:after="240" w:line="276" w:lineRule="auto"/>
        <w:jc w:val="both"/>
        <w:rPr>
          <w:rFonts w:ascii="Times" w:hAnsi="Times" w:cs="Arial"/>
          <w:color w:val="595959" w:themeColor="text1" w:themeTint="A6"/>
        </w:rPr>
      </w:pPr>
      <w:r w:rsidRPr="00D54839">
        <w:rPr>
          <w:rFonts w:ascii="Times" w:hAnsi="Times" w:cs="Arial"/>
          <w:b/>
          <w:bCs/>
          <w:color w:val="595959" w:themeColor="text1" w:themeTint="A6"/>
        </w:rPr>
        <w:t xml:space="preserve">Dato: </w:t>
      </w:r>
      <w:r w:rsidRPr="00D54839">
        <w:rPr>
          <w:rFonts w:ascii="Times" w:hAnsi="Times" w:cs="Arial"/>
          <w:color w:val="595959" w:themeColor="text1" w:themeTint="A6"/>
        </w:rPr>
        <w:t xml:space="preserve">Descripción de hechos, situaciones, sucesos o valores, representados mediante símbolos físicos o electrónicos. </w:t>
      </w:r>
    </w:p>
    <w:p w14:paraId="70AD9B8D" w14:textId="77777777" w:rsidR="00D54839" w:rsidRDefault="00D54839" w:rsidP="00684C0E">
      <w:pPr>
        <w:pStyle w:val="Default"/>
        <w:numPr>
          <w:ilvl w:val="1"/>
          <w:numId w:val="29"/>
        </w:numPr>
        <w:spacing w:after="240" w:line="276" w:lineRule="auto"/>
        <w:jc w:val="both"/>
        <w:rPr>
          <w:rFonts w:ascii="Times" w:hAnsi="Times" w:cs="Arial"/>
          <w:b/>
          <w:bCs/>
          <w:color w:val="595959" w:themeColor="text1" w:themeTint="A6"/>
        </w:rPr>
      </w:pPr>
      <w:r w:rsidRPr="00D54839">
        <w:rPr>
          <w:rFonts w:ascii="Times" w:hAnsi="Times" w:cs="Arial"/>
          <w:b/>
          <w:bCs/>
          <w:color w:val="595959" w:themeColor="text1" w:themeTint="A6"/>
        </w:rPr>
        <w:t xml:space="preserve">Datos Abiertos: </w:t>
      </w:r>
      <w:r w:rsidRPr="00D54839">
        <w:rPr>
          <w:rFonts w:ascii="Times" w:hAnsi="Times" w:cs="Arial"/>
          <w:color w:val="595959" w:themeColor="text1" w:themeTint="A6"/>
        </w:rPr>
        <w:t>Datos primarios o sin procesar, que se encuentran en formatos estándar e interoperables que facilitan su acceso y reutilización, los cuales están bajo la custodia de las entidades públicas y que son puestos a disposición de cualquier ciudadano, de forma libre y sin restricciones, con el fin de que terceros puedan reutilizarlos y crear servicios derivados de los mismos.</w:t>
      </w:r>
      <w:r w:rsidRPr="00D54839">
        <w:rPr>
          <w:rFonts w:ascii="Times" w:hAnsi="Times" w:cs="Arial"/>
          <w:b/>
          <w:bCs/>
          <w:color w:val="595959" w:themeColor="text1" w:themeTint="A6"/>
        </w:rPr>
        <w:t xml:space="preserve"> </w:t>
      </w:r>
    </w:p>
    <w:p w14:paraId="08F3D293" w14:textId="29B59E3E" w:rsidR="009A7D3B" w:rsidRPr="001924AE" w:rsidRDefault="009A7D3B" w:rsidP="00684C0E">
      <w:pPr>
        <w:pStyle w:val="Default"/>
        <w:numPr>
          <w:ilvl w:val="1"/>
          <w:numId w:val="29"/>
        </w:numPr>
        <w:spacing w:after="240" w:line="276" w:lineRule="auto"/>
        <w:jc w:val="both"/>
        <w:rPr>
          <w:rFonts w:ascii="Times" w:hAnsi="Times" w:cs="Arial"/>
          <w:b/>
          <w:bCs/>
          <w:color w:val="595959" w:themeColor="text1" w:themeTint="A6"/>
        </w:rPr>
      </w:pPr>
      <w:r w:rsidRPr="009A7D3B">
        <w:rPr>
          <w:rFonts w:ascii="Times" w:hAnsi="Times" w:cs="Arial"/>
          <w:b/>
          <w:bCs/>
          <w:color w:val="595959" w:themeColor="text1" w:themeTint="A6"/>
        </w:rPr>
        <w:t xml:space="preserve">Información Pública: </w:t>
      </w:r>
      <w:r w:rsidRPr="009A7D3B">
        <w:rPr>
          <w:rFonts w:ascii="Times" w:hAnsi="Times" w:cs="Arial"/>
          <w:color w:val="595959" w:themeColor="text1" w:themeTint="A6"/>
        </w:rPr>
        <w:t>Agrupación ordenada de datos públicos, que permite otorgarle a los datos una utilidad y uso en determinado contexto, y que se genera a partir del desarrollo de actividades para el funcionamiento del Estado, es decir de los registros periódicos de las actividades misionales de las entidades, o como consecuencia del ejercicio de funciones de rutina en el Estado.</w:t>
      </w:r>
    </w:p>
    <w:p w14:paraId="37848724" w14:textId="72414904" w:rsidR="001924AE" w:rsidRDefault="001924AE" w:rsidP="001924AE">
      <w:pPr>
        <w:pStyle w:val="Default"/>
        <w:spacing w:after="240" w:line="276" w:lineRule="auto"/>
        <w:jc w:val="both"/>
        <w:rPr>
          <w:rFonts w:ascii="Times" w:hAnsi="Times" w:cs="Arial"/>
        </w:rPr>
      </w:pPr>
    </w:p>
    <w:sectPr w:rsidR="001924AE" w:rsidSect="00B4425D">
      <w:headerReference w:type="default" r:id="rId13"/>
      <w:footerReference w:type="default" r:id="rId14"/>
      <w:headerReference w:type="first" r:id="rId15"/>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F9D17" w14:textId="77777777" w:rsidR="007D057E" w:rsidRDefault="007D057E" w:rsidP="00C14BFA">
      <w:pPr>
        <w:spacing w:after="0" w:line="240" w:lineRule="auto"/>
      </w:pPr>
      <w:r>
        <w:separator/>
      </w:r>
    </w:p>
  </w:endnote>
  <w:endnote w:type="continuationSeparator" w:id="0">
    <w:p w14:paraId="4737A6F3" w14:textId="77777777" w:rsidR="007D057E" w:rsidRDefault="007D057E" w:rsidP="00C14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8DCC" w14:textId="00B70482" w:rsidR="00C14BFA" w:rsidRPr="00C029D2" w:rsidRDefault="00C14BFA" w:rsidP="00C14BFA">
    <w:pPr>
      <w:rPr>
        <w:lang w:val="es-ES_tradnl"/>
      </w:rPr>
    </w:pPr>
  </w:p>
  <w:p w14:paraId="64D5882D" w14:textId="77777777" w:rsidR="00C14BFA" w:rsidRDefault="00C14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90E03" w14:textId="77777777" w:rsidR="007D057E" w:rsidRDefault="007D057E" w:rsidP="00C14BFA">
      <w:pPr>
        <w:spacing w:after="0" w:line="240" w:lineRule="auto"/>
      </w:pPr>
      <w:r>
        <w:separator/>
      </w:r>
    </w:p>
  </w:footnote>
  <w:footnote w:type="continuationSeparator" w:id="0">
    <w:p w14:paraId="7EC095AB" w14:textId="77777777" w:rsidR="007D057E" w:rsidRDefault="007D057E" w:rsidP="00C14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574C8" w14:textId="66219087" w:rsidR="00B4425D" w:rsidRDefault="00000000" w:rsidP="00B4425D">
    <w:pPr>
      <w:jc w:val="center"/>
    </w:pPr>
    <w:r>
      <w:rPr>
        <w:noProof/>
        <w:lang w:val="es-ES" w:eastAsia="es-ES"/>
      </w:rPr>
      <w:pict w14:anchorId="5E253B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76.5pt;margin-top:-70.2pt;width:613pt;height:11in;z-index:-251657216;mso-wrap-edited:f;mso-width-percent:0;mso-height-percent:0;mso-position-horizontal-relative:margin;mso-position-vertical-relative:margin;mso-width-percent:0;mso-height-percent:0" o:allowincell="f">
          <v:imagedata r:id="rId1" o:title="Memebrete observatorio_Mesa de trabajo 1 cop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D53A" w14:textId="7B419AE9" w:rsidR="008415D5" w:rsidRDefault="00000000">
    <w:pPr>
      <w:pStyle w:val="Header"/>
    </w:pPr>
    <w:r>
      <w:rPr>
        <w:noProof/>
      </w:rPr>
      <w:pict w14:anchorId="5E253B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0873585" o:spid="_x0000_s1025" type="#_x0000_t75" alt="" style="position:absolute;margin-left:-87.4pt;margin-top:-74.25pt;width:613pt;height:11in;z-index:-251658240;mso-wrap-edited:f;mso-width-percent:0;mso-height-percent:0;mso-position-horizontal-relative:margin;mso-position-vertical-relative:margin;mso-width-percent:0;mso-height-percent:0" o:allowincell="f">
          <v:imagedata r:id="rId1" o:title="Memebrete observatorio_Mesa de trabajo 1 c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D05"/>
    <w:multiLevelType w:val="hybridMultilevel"/>
    <w:tmpl w:val="08305F90"/>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8D21260"/>
    <w:multiLevelType w:val="hybridMultilevel"/>
    <w:tmpl w:val="365E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34082"/>
    <w:multiLevelType w:val="hybridMultilevel"/>
    <w:tmpl w:val="0AEA3346"/>
    <w:lvl w:ilvl="0" w:tplc="D0F4D82C">
      <w:start w:val="12"/>
      <w:numFmt w:val="bullet"/>
      <w:lvlText w:val="-"/>
      <w:lvlJc w:val="left"/>
      <w:pPr>
        <w:ind w:left="1080" w:hanging="360"/>
      </w:pPr>
      <w:rPr>
        <w:rFonts w:ascii="Times" w:eastAsiaTheme="minorHAnsi" w:hAnsi="Times" w:cs="Time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09E4108A"/>
    <w:multiLevelType w:val="hybridMultilevel"/>
    <w:tmpl w:val="70EC72E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 w15:restartNumberingAfterBreak="0">
    <w:nsid w:val="0E6C776F"/>
    <w:multiLevelType w:val="hybridMultilevel"/>
    <w:tmpl w:val="43406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3417CF"/>
    <w:multiLevelType w:val="hybridMultilevel"/>
    <w:tmpl w:val="F230BDB8"/>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13706A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DF494D"/>
    <w:multiLevelType w:val="hybridMultilevel"/>
    <w:tmpl w:val="6748D2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725157"/>
    <w:multiLevelType w:val="hybridMultilevel"/>
    <w:tmpl w:val="DEF4FBEC"/>
    <w:lvl w:ilvl="0" w:tplc="0C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1A6C64C3"/>
    <w:multiLevelType w:val="hybridMultilevel"/>
    <w:tmpl w:val="00449636"/>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C0D663F"/>
    <w:multiLevelType w:val="hybridMultilevel"/>
    <w:tmpl w:val="75C0C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7B0B49"/>
    <w:multiLevelType w:val="hybridMultilevel"/>
    <w:tmpl w:val="484C068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80F6F39"/>
    <w:multiLevelType w:val="hybridMultilevel"/>
    <w:tmpl w:val="D700C68C"/>
    <w:lvl w:ilvl="0" w:tplc="744C18CE">
      <w:numFmt w:val="bullet"/>
      <w:lvlText w:val="•"/>
      <w:lvlJc w:val="left"/>
      <w:pPr>
        <w:ind w:left="1068" w:hanging="360"/>
      </w:pPr>
      <w:rPr>
        <w:rFonts w:ascii="Times" w:eastAsiaTheme="minorHAnsi" w:hAnsi="Times" w:cs="Time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3" w15:restartNumberingAfterBreak="0">
    <w:nsid w:val="29000E1B"/>
    <w:multiLevelType w:val="hybridMultilevel"/>
    <w:tmpl w:val="906866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36745E3"/>
    <w:multiLevelType w:val="multilevel"/>
    <w:tmpl w:val="B60EE5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5C24A4"/>
    <w:multiLevelType w:val="hybridMultilevel"/>
    <w:tmpl w:val="B7000E2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7683DC0"/>
    <w:multiLevelType w:val="hybridMultilevel"/>
    <w:tmpl w:val="DD8A9176"/>
    <w:lvl w:ilvl="0" w:tplc="D0F4D82C">
      <w:start w:val="12"/>
      <w:numFmt w:val="bullet"/>
      <w:lvlText w:val="-"/>
      <w:lvlJc w:val="left"/>
      <w:pPr>
        <w:ind w:left="1080" w:hanging="360"/>
      </w:pPr>
      <w:rPr>
        <w:rFonts w:ascii="Times" w:eastAsiaTheme="minorHAnsi" w:hAnsi="Times" w:cs="Time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15:restartNumberingAfterBreak="0">
    <w:nsid w:val="3D8F5078"/>
    <w:multiLevelType w:val="hybridMultilevel"/>
    <w:tmpl w:val="8760FD8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33C1572"/>
    <w:multiLevelType w:val="hybridMultilevel"/>
    <w:tmpl w:val="E6526F14"/>
    <w:lvl w:ilvl="0" w:tplc="D0F4D82C">
      <w:start w:val="12"/>
      <w:numFmt w:val="bullet"/>
      <w:lvlText w:val="-"/>
      <w:lvlJc w:val="left"/>
      <w:pPr>
        <w:ind w:left="1080" w:hanging="360"/>
      </w:pPr>
      <w:rPr>
        <w:rFonts w:ascii="Times" w:eastAsiaTheme="minorHAnsi" w:hAnsi="Times" w:cs="Time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45464566"/>
    <w:multiLevelType w:val="hybridMultilevel"/>
    <w:tmpl w:val="9DB0E9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614FD4"/>
    <w:multiLevelType w:val="hybridMultilevel"/>
    <w:tmpl w:val="60BC99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021AFF"/>
    <w:multiLevelType w:val="hybridMultilevel"/>
    <w:tmpl w:val="CBD8BA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B0835EF"/>
    <w:multiLevelType w:val="hybridMultilevel"/>
    <w:tmpl w:val="7E700F54"/>
    <w:lvl w:ilvl="0" w:tplc="D0F4D82C">
      <w:start w:val="12"/>
      <w:numFmt w:val="bullet"/>
      <w:lvlText w:val="-"/>
      <w:lvlJc w:val="left"/>
      <w:pPr>
        <w:ind w:left="1080" w:hanging="360"/>
      </w:pPr>
      <w:rPr>
        <w:rFonts w:ascii="Times" w:eastAsiaTheme="minorHAnsi" w:hAnsi="Times" w:cs="Time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4B7E6736"/>
    <w:multiLevelType w:val="hybridMultilevel"/>
    <w:tmpl w:val="5BCAD5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E63588"/>
    <w:multiLevelType w:val="hybridMultilevel"/>
    <w:tmpl w:val="D278C9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2622E95"/>
    <w:multiLevelType w:val="hybridMultilevel"/>
    <w:tmpl w:val="DD36D9A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5B076058"/>
    <w:multiLevelType w:val="hybridMultilevel"/>
    <w:tmpl w:val="B8D0B48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F3964DA"/>
    <w:multiLevelType w:val="hybridMultilevel"/>
    <w:tmpl w:val="A01856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0A600C5"/>
    <w:multiLevelType w:val="hybridMultilevel"/>
    <w:tmpl w:val="60AE6864"/>
    <w:lvl w:ilvl="0" w:tplc="558A1F26">
      <w:start w:val="1"/>
      <w:numFmt w:val="bullet"/>
      <w:lvlText w:val="•"/>
      <w:lvlJc w:val="left"/>
      <w:pPr>
        <w:tabs>
          <w:tab w:val="num" w:pos="720"/>
        </w:tabs>
        <w:ind w:left="720" w:hanging="360"/>
      </w:pPr>
      <w:rPr>
        <w:rFonts w:ascii="Times New Roman" w:hAnsi="Times New Roman" w:hint="default"/>
      </w:rPr>
    </w:lvl>
    <w:lvl w:ilvl="1" w:tplc="3BCEC276" w:tentative="1">
      <w:start w:val="1"/>
      <w:numFmt w:val="bullet"/>
      <w:lvlText w:val="•"/>
      <w:lvlJc w:val="left"/>
      <w:pPr>
        <w:tabs>
          <w:tab w:val="num" w:pos="1440"/>
        </w:tabs>
        <w:ind w:left="1440" w:hanging="360"/>
      </w:pPr>
      <w:rPr>
        <w:rFonts w:ascii="Times New Roman" w:hAnsi="Times New Roman" w:hint="default"/>
      </w:rPr>
    </w:lvl>
    <w:lvl w:ilvl="2" w:tplc="C3EA9240" w:tentative="1">
      <w:start w:val="1"/>
      <w:numFmt w:val="bullet"/>
      <w:lvlText w:val="•"/>
      <w:lvlJc w:val="left"/>
      <w:pPr>
        <w:tabs>
          <w:tab w:val="num" w:pos="2160"/>
        </w:tabs>
        <w:ind w:left="2160" w:hanging="360"/>
      </w:pPr>
      <w:rPr>
        <w:rFonts w:ascii="Times New Roman" w:hAnsi="Times New Roman" w:hint="default"/>
      </w:rPr>
    </w:lvl>
    <w:lvl w:ilvl="3" w:tplc="2BE65B32" w:tentative="1">
      <w:start w:val="1"/>
      <w:numFmt w:val="bullet"/>
      <w:lvlText w:val="•"/>
      <w:lvlJc w:val="left"/>
      <w:pPr>
        <w:tabs>
          <w:tab w:val="num" w:pos="2880"/>
        </w:tabs>
        <w:ind w:left="2880" w:hanging="360"/>
      </w:pPr>
      <w:rPr>
        <w:rFonts w:ascii="Times New Roman" w:hAnsi="Times New Roman" w:hint="default"/>
      </w:rPr>
    </w:lvl>
    <w:lvl w:ilvl="4" w:tplc="01BE593A" w:tentative="1">
      <w:start w:val="1"/>
      <w:numFmt w:val="bullet"/>
      <w:lvlText w:val="•"/>
      <w:lvlJc w:val="left"/>
      <w:pPr>
        <w:tabs>
          <w:tab w:val="num" w:pos="3600"/>
        </w:tabs>
        <w:ind w:left="3600" w:hanging="360"/>
      </w:pPr>
      <w:rPr>
        <w:rFonts w:ascii="Times New Roman" w:hAnsi="Times New Roman" w:hint="default"/>
      </w:rPr>
    </w:lvl>
    <w:lvl w:ilvl="5" w:tplc="9014F8A0" w:tentative="1">
      <w:start w:val="1"/>
      <w:numFmt w:val="bullet"/>
      <w:lvlText w:val="•"/>
      <w:lvlJc w:val="left"/>
      <w:pPr>
        <w:tabs>
          <w:tab w:val="num" w:pos="4320"/>
        </w:tabs>
        <w:ind w:left="4320" w:hanging="360"/>
      </w:pPr>
      <w:rPr>
        <w:rFonts w:ascii="Times New Roman" w:hAnsi="Times New Roman" w:hint="default"/>
      </w:rPr>
    </w:lvl>
    <w:lvl w:ilvl="6" w:tplc="C4E87264" w:tentative="1">
      <w:start w:val="1"/>
      <w:numFmt w:val="bullet"/>
      <w:lvlText w:val="•"/>
      <w:lvlJc w:val="left"/>
      <w:pPr>
        <w:tabs>
          <w:tab w:val="num" w:pos="5040"/>
        </w:tabs>
        <w:ind w:left="5040" w:hanging="360"/>
      </w:pPr>
      <w:rPr>
        <w:rFonts w:ascii="Times New Roman" w:hAnsi="Times New Roman" w:hint="default"/>
      </w:rPr>
    </w:lvl>
    <w:lvl w:ilvl="7" w:tplc="ECEC9D88" w:tentative="1">
      <w:start w:val="1"/>
      <w:numFmt w:val="bullet"/>
      <w:lvlText w:val="•"/>
      <w:lvlJc w:val="left"/>
      <w:pPr>
        <w:tabs>
          <w:tab w:val="num" w:pos="5760"/>
        </w:tabs>
        <w:ind w:left="5760" w:hanging="360"/>
      </w:pPr>
      <w:rPr>
        <w:rFonts w:ascii="Times New Roman" w:hAnsi="Times New Roman" w:hint="default"/>
      </w:rPr>
    </w:lvl>
    <w:lvl w:ilvl="8" w:tplc="1834EAA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1FD6CD0"/>
    <w:multiLevelType w:val="hybridMultilevel"/>
    <w:tmpl w:val="AC8AD640"/>
    <w:lvl w:ilvl="0" w:tplc="D0F4D82C">
      <w:start w:val="12"/>
      <w:numFmt w:val="bullet"/>
      <w:lvlText w:val="-"/>
      <w:lvlJc w:val="left"/>
      <w:pPr>
        <w:ind w:left="720" w:hanging="360"/>
      </w:pPr>
      <w:rPr>
        <w:rFonts w:ascii="Times" w:eastAsiaTheme="minorHAnsi" w:hAnsi="Times" w:cs="Time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47E6F69"/>
    <w:multiLevelType w:val="hybridMultilevel"/>
    <w:tmpl w:val="DBCCA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96B6E9C"/>
    <w:multiLevelType w:val="hybridMultilevel"/>
    <w:tmpl w:val="69D68E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943DE2"/>
    <w:multiLevelType w:val="hybridMultilevel"/>
    <w:tmpl w:val="731EE7C4"/>
    <w:lvl w:ilvl="0" w:tplc="F5F0B178">
      <w:start w:val="1"/>
      <w:numFmt w:val="decimal"/>
      <w:lvlText w:val="%1."/>
      <w:lvlJc w:val="left"/>
      <w:pPr>
        <w:ind w:left="720" w:hanging="360"/>
      </w:pPr>
      <w:rPr>
        <w:rFonts w:asciiTheme="majorHAnsi" w:hAnsiTheme="majorHAnsi" w:hint="default"/>
        <w:color w:val="595959" w:themeColor="text1" w:themeTint="A6"/>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2E16934"/>
    <w:multiLevelType w:val="hybridMultilevel"/>
    <w:tmpl w:val="0B8696A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34C7A9B"/>
    <w:multiLevelType w:val="hybridMultilevel"/>
    <w:tmpl w:val="A300E6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51C73BA"/>
    <w:multiLevelType w:val="hybridMultilevel"/>
    <w:tmpl w:val="0A94424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5D413D0"/>
    <w:multiLevelType w:val="hybridMultilevel"/>
    <w:tmpl w:val="D15A2192"/>
    <w:lvl w:ilvl="0" w:tplc="F5F0B178">
      <w:start w:val="1"/>
      <w:numFmt w:val="decimal"/>
      <w:lvlText w:val="%1."/>
      <w:lvlJc w:val="left"/>
      <w:pPr>
        <w:ind w:left="720" w:hanging="360"/>
      </w:pPr>
      <w:rPr>
        <w:rFonts w:asciiTheme="majorHAnsi" w:hAnsiTheme="majorHAnsi" w:hint="default"/>
        <w:color w:val="595959" w:themeColor="text1" w:themeTint="A6"/>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8C161FD"/>
    <w:multiLevelType w:val="hybridMultilevel"/>
    <w:tmpl w:val="0980C192"/>
    <w:lvl w:ilvl="0" w:tplc="24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9BA1E75"/>
    <w:multiLevelType w:val="hybridMultilevel"/>
    <w:tmpl w:val="3968A2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480273"/>
    <w:multiLevelType w:val="hybridMultilevel"/>
    <w:tmpl w:val="E006D1B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15:restartNumberingAfterBreak="0">
    <w:nsid w:val="7F04143D"/>
    <w:multiLevelType w:val="hybridMultilevel"/>
    <w:tmpl w:val="4EC8CE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F6B776F"/>
    <w:multiLevelType w:val="hybridMultilevel"/>
    <w:tmpl w:val="6DDAAD2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77645521">
    <w:abstractNumId w:val="27"/>
  </w:num>
  <w:num w:numId="2" w16cid:durableId="813913417">
    <w:abstractNumId w:val="29"/>
  </w:num>
  <w:num w:numId="3" w16cid:durableId="186795464">
    <w:abstractNumId w:val="2"/>
  </w:num>
  <w:num w:numId="4" w16cid:durableId="187527499">
    <w:abstractNumId w:val="22"/>
  </w:num>
  <w:num w:numId="5" w16cid:durableId="824783206">
    <w:abstractNumId w:val="16"/>
  </w:num>
  <w:num w:numId="6" w16cid:durableId="1135366186">
    <w:abstractNumId w:val="18"/>
  </w:num>
  <w:num w:numId="7" w16cid:durableId="892614787">
    <w:abstractNumId w:val="21"/>
  </w:num>
  <w:num w:numId="8" w16cid:durableId="1405255157">
    <w:abstractNumId w:val="14"/>
    <w:lvlOverride w:ilvl="0">
      <w:lvl w:ilvl="0">
        <w:numFmt w:val="upperRoman"/>
        <w:lvlText w:val="%1."/>
        <w:lvlJc w:val="right"/>
      </w:lvl>
    </w:lvlOverride>
    <w:lvlOverride w:ilvl="1">
      <w:lvl w:ilvl="1">
        <w:start w:val="1"/>
        <w:numFmt w:val="decimal"/>
        <w:lvlText w:val="%2."/>
        <w:lvlJc w:val="left"/>
        <w:pPr>
          <w:tabs>
            <w:tab w:val="num" w:pos="1392"/>
          </w:tabs>
          <w:ind w:left="1392" w:hanging="360"/>
        </w:pPr>
      </w:lvl>
    </w:lvlOverride>
    <w:lvlOverride w:ilvl="2">
      <w:lvl w:ilvl="2">
        <w:start w:val="1"/>
        <w:numFmt w:val="bullet"/>
        <w:lvlText w:val=""/>
        <w:lvlJc w:val="left"/>
        <w:pPr>
          <w:tabs>
            <w:tab w:val="num" w:pos="2112"/>
          </w:tabs>
          <w:ind w:left="2112" w:hanging="360"/>
        </w:pPr>
        <w:rPr>
          <w:rFonts w:ascii="Wingdings" w:hAnsi="Wingdings" w:hint="default"/>
          <w:sz w:val="20"/>
        </w:rPr>
      </w:lvl>
    </w:lvlOverride>
    <w:lvlOverride w:ilvl="3">
      <w:lvl w:ilvl="3" w:tentative="1">
        <w:start w:val="1"/>
        <w:numFmt w:val="bullet"/>
        <w:lvlText w:val=""/>
        <w:lvlJc w:val="left"/>
        <w:pPr>
          <w:tabs>
            <w:tab w:val="num" w:pos="2832"/>
          </w:tabs>
          <w:ind w:left="2832" w:hanging="360"/>
        </w:pPr>
        <w:rPr>
          <w:rFonts w:ascii="Wingdings" w:hAnsi="Wingdings" w:hint="default"/>
          <w:sz w:val="20"/>
        </w:rPr>
      </w:lvl>
    </w:lvlOverride>
    <w:lvlOverride w:ilvl="4">
      <w:lvl w:ilvl="4" w:tentative="1">
        <w:start w:val="1"/>
        <w:numFmt w:val="bullet"/>
        <w:lvlText w:val=""/>
        <w:lvlJc w:val="left"/>
        <w:pPr>
          <w:tabs>
            <w:tab w:val="num" w:pos="3552"/>
          </w:tabs>
          <w:ind w:left="3552" w:hanging="360"/>
        </w:pPr>
        <w:rPr>
          <w:rFonts w:ascii="Wingdings" w:hAnsi="Wingdings" w:hint="default"/>
          <w:sz w:val="20"/>
        </w:rPr>
      </w:lvl>
    </w:lvlOverride>
    <w:lvlOverride w:ilvl="5">
      <w:lvl w:ilvl="5" w:tentative="1">
        <w:start w:val="1"/>
        <w:numFmt w:val="bullet"/>
        <w:lvlText w:val=""/>
        <w:lvlJc w:val="left"/>
        <w:pPr>
          <w:tabs>
            <w:tab w:val="num" w:pos="4272"/>
          </w:tabs>
          <w:ind w:left="4272" w:hanging="360"/>
        </w:pPr>
        <w:rPr>
          <w:rFonts w:ascii="Wingdings" w:hAnsi="Wingdings" w:hint="default"/>
          <w:sz w:val="20"/>
        </w:rPr>
      </w:lvl>
    </w:lvlOverride>
    <w:lvlOverride w:ilvl="6">
      <w:lvl w:ilvl="6" w:tentative="1">
        <w:start w:val="1"/>
        <w:numFmt w:val="bullet"/>
        <w:lvlText w:val=""/>
        <w:lvlJc w:val="left"/>
        <w:pPr>
          <w:tabs>
            <w:tab w:val="num" w:pos="4992"/>
          </w:tabs>
          <w:ind w:left="4992" w:hanging="360"/>
        </w:pPr>
        <w:rPr>
          <w:rFonts w:ascii="Wingdings" w:hAnsi="Wingdings" w:hint="default"/>
          <w:sz w:val="20"/>
        </w:rPr>
      </w:lvl>
    </w:lvlOverride>
    <w:lvlOverride w:ilvl="7">
      <w:lvl w:ilvl="7" w:tentative="1">
        <w:start w:val="1"/>
        <w:numFmt w:val="bullet"/>
        <w:lvlText w:val=""/>
        <w:lvlJc w:val="left"/>
        <w:pPr>
          <w:tabs>
            <w:tab w:val="num" w:pos="5712"/>
          </w:tabs>
          <w:ind w:left="5712" w:hanging="360"/>
        </w:pPr>
        <w:rPr>
          <w:rFonts w:ascii="Wingdings" w:hAnsi="Wingdings" w:hint="default"/>
          <w:sz w:val="20"/>
        </w:rPr>
      </w:lvl>
    </w:lvlOverride>
    <w:lvlOverride w:ilvl="8">
      <w:lvl w:ilvl="8" w:tentative="1">
        <w:start w:val="1"/>
        <w:numFmt w:val="bullet"/>
        <w:lvlText w:val=""/>
        <w:lvlJc w:val="left"/>
        <w:pPr>
          <w:tabs>
            <w:tab w:val="num" w:pos="6432"/>
          </w:tabs>
          <w:ind w:left="6432" w:hanging="360"/>
        </w:pPr>
        <w:rPr>
          <w:rFonts w:ascii="Wingdings" w:hAnsi="Wingdings" w:hint="default"/>
          <w:sz w:val="20"/>
        </w:rPr>
      </w:lvl>
    </w:lvlOverride>
  </w:num>
  <w:num w:numId="9" w16cid:durableId="890309588">
    <w:abstractNumId w:val="11"/>
  </w:num>
  <w:num w:numId="10" w16cid:durableId="1045638165">
    <w:abstractNumId w:val="8"/>
  </w:num>
  <w:num w:numId="11" w16cid:durableId="16400680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99474424">
    <w:abstractNumId w:val="13"/>
  </w:num>
  <w:num w:numId="13" w16cid:durableId="386495686">
    <w:abstractNumId w:val="5"/>
  </w:num>
  <w:num w:numId="14" w16cid:durableId="704449503">
    <w:abstractNumId w:val="36"/>
  </w:num>
  <w:num w:numId="15" w16cid:durableId="13501392">
    <w:abstractNumId w:val="32"/>
  </w:num>
  <w:num w:numId="16" w16cid:durableId="142351355">
    <w:abstractNumId w:val="34"/>
  </w:num>
  <w:num w:numId="17" w16cid:durableId="1839809481">
    <w:abstractNumId w:val="41"/>
  </w:num>
  <w:num w:numId="18" w16cid:durableId="1795176219">
    <w:abstractNumId w:val="17"/>
  </w:num>
  <w:num w:numId="19" w16cid:durableId="746264753">
    <w:abstractNumId w:val="15"/>
  </w:num>
  <w:num w:numId="20" w16cid:durableId="624852617">
    <w:abstractNumId w:val="28"/>
  </w:num>
  <w:num w:numId="21" w16cid:durableId="1877498381">
    <w:abstractNumId w:val="39"/>
  </w:num>
  <w:num w:numId="22" w16cid:durableId="1681394783">
    <w:abstractNumId w:val="26"/>
  </w:num>
  <w:num w:numId="23" w16cid:durableId="656619091">
    <w:abstractNumId w:val="9"/>
  </w:num>
  <w:num w:numId="24" w16cid:durableId="1010065184">
    <w:abstractNumId w:val="25"/>
  </w:num>
  <w:num w:numId="25" w16cid:durableId="553390337">
    <w:abstractNumId w:val="40"/>
  </w:num>
  <w:num w:numId="26" w16cid:durableId="893076582">
    <w:abstractNumId w:val="35"/>
  </w:num>
  <w:num w:numId="27" w16cid:durableId="1141188930">
    <w:abstractNumId w:val="3"/>
  </w:num>
  <w:num w:numId="28" w16cid:durableId="863445821">
    <w:abstractNumId w:val="12"/>
  </w:num>
  <w:num w:numId="29" w16cid:durableId="753474833">
    <w:abstractNumId w:val="24"/>
  </w:num>
  <w:num w:numId="30" w16cid:durableId="2049718123">
    <w:abstractNumId w:val="1"/>
  </w:num>
  <w:num w:numId="31" w16cid:durableId="1896962044">
    <w:abstractNumId w:val="23"/>
  </w:num>
  <w:num w:numId="32" w16cid:durableId="745761255">
    <w:abstractNumId w:val="4"/>
  </w:num>
  <w:num w:numId="33" w16cid:durableId="1371801916">
    <w:abstractNumId w:val="0"/>
  </w:num>
  <w:num w:numId="34" w16cid:durableId="1309899862">
    <w:abstractNumId w:val="20"/>
  </w:num>
  <w:num w:numId="35" w16cid:durableId="54158846">
    <w:abstractNumId w:val="37"/>
  </w:num>
  <w:num w:numId="36" w16cid:durableId="2079404624">
    <w:abstractNumId w:val="33"/>
  </w:num>
  <w:num w:numId="37" w16cid:durableId="86118389">
    <w:abstractNumId w:val="31"/>
  </w:num>
  <w:num w:numId="38" w16cid:durableId="771631577">
    <w:abstractNumId w:val="10"/>
  </w:num>
  <w:num w:numId="39" w16cid:durableId="2035574368">
    <w:abstractNumId w:val="19"/>
  </w:num>
  <w:num w:numId="40" w16cid:durableId="1315330846">
    <w:abstractNumId w:val="30"/>
  </w:num>
  <w:num w:numId="41" w16cid:durableId="26878814">
    <w:abstractNumId w:val="7"/>
  </w:num>
  <w:num w:numId="42" w16cid:durableId="1241522344">
    <w:abstractNumId w:val="6"/>
  </w:num>
  <w:num w:numId="43" w16cid:durableId="75991405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686"/>
    <w:rsid w:val="00010B5C"/>
    <w:rsid w:val="000150E0"/>
    <w:rsid w:val="00016057"/>
    <w:rsid w:val="00026A7D"/>
    <w:rsid w:val="00027AA7"/>
    <w:rsid w:val="00034050"/>
    <w:rsid w:val="000377FA"/>
    <w:rsid w:val="000463FE"/>
    <w:rsid w:val="000525EF"/>
    <w:rsid w:val="0005302B"/>
    <w:rsid w:val="000567C6"/>
    <w:rsid w:val="00082D7A"/>
    <w:rsid w:val="0009588A"/>
    <w:rsid w:val="000A33BC"/>
    <w:rsid w:val="000A3600"/>
    <w:rsid w:val="000A4C0E"/>
    <w:rsid w:val="000C2208"/>
    <w:rsid w:val="000C5DA1"/>
    <w:rsid w:val="000D5446"/>
    <w:rsid w:val="000D5B53"/>
    <w:rsid w:val="000E149C"/>
    <w:rsid w:val="000E3620"/>
    <w:rsid w:val="000F3710"/>
    <w:rsid w:val="00117671"/>
    <w:rsid w:val="00131CC1"/>
    <w:rsid w:val="00133362"/>
    <w:rsid w:val="00141A9E"/>
    <w:rsid w:val="0014705E"/>
    <w:rsid w:val="00150877"/>
    <w:rsid w:val="00150AD3"/>
    <w:rsid w:val="00151EA2"/>
    <w:rsid w:val="00155221"/>
    <w:rsid w:val="001614DA"/>
    <w:rsid w:val="001638FC"/>
    <w:rsid w:val="001664F5"/>
    <w:rsid w:val="001829C7"/>
    <w:rsid w:val="00190F7D"/>
    <w:rsid w:val="001918E6"/>
    <w:rsid w:val="00191A59"/>
    <w:rsid w:val="001924AE"/>
    <w:rsid w:val="001A4540"/>
    <w:rsid w:val="001B0E97"/>
    <w:rsid w:val="001B277D"/>
    <w:rsid w:val="001C0471"/>
    <w:rsid w:val="001C4E78"/>
    <w:rsid w:val="001E54A8"/>
    <w:rsid w:val="001E78D9"/>
    <w:rsid w:val="001F01FF"/>
    <w:rsid w:val="001F2112"/>
    <w:rsid w:val="002026D3"/>
    <w:rsid w:val="0020780B"/>
    <w:rsid w:val="00211E79"/>
    <w:rsid w:val="0022117E"/>
    <w:rsid w:val="00234865"/>
    <w:rsid w:val="002359C9"/>
    <w:rsid w:val="00235DE3"/>
    <w:rsid w:val="00237415"/>
    <w:rsid w:val="00237852"/>
    <w:rsid w:val="00253038"/>
    <w:rsid w:val="002544BE"/>
    <w:rsid w:val="00256CBD"/>
    <w:rsid w:val="00260791"/>
    <w:rsid w:val="0026362D"/>
    <w:rsid w:val="0026387E"/>
    <w:rsid w:val="0026570D"/>
    <w:rsid w:val="0027234B"/>
    <w:rsid w:val="00275C86"/>
    <w:rsid w:val="00277309"/>
    <w:rsid w:val="002C5B90"/>
    <w:rsid w:val="002D71A7"/>
    <w:rsid w:val="002E6C1A"/>
    <w:rsid w:val="002F08DF"/>
    <w:rsid w:val="00302048"/>
    <w:rsid w:val="00311FAF"/>
    <w:rsid w:val="0032164D"/>
    <w:rsid w:val="003309AF"/>
    <w:rsid w:val="00330C44"/>
    <w:rsid w:val="00352148"/>
    <w:rsid w:val="00353DE4"/>
    <w:rsid w:val="00353EF6"/>
    <w:rsid w:val="00361C2C"/>
    <w:rsid w:val="00366A4D"/>
    <w:rsid w:val="00372328"/>
    <w:rsid w:val="00376BF7"/>
    <w:rsid w:val="00377F26"/>
    <w:rsid w:val="003800ED"/>
    <w:rsid w:val="0038309F"/>
    <w:rsid w:val="003866DF"/>
    <w:rsid w:val="0038699E"/>
    <w:rsid w:val="00386EFB"/>
    <w:rsid w:val="00387B1F"/>
    <w:rsid w:val="00390FA4"/>
    <w:rsid w:val="0039558A"/>
    <w:rsid w:val="003B001F"/>
    <w:rsid w:val="003B6DC0"/>
    <w:rsid w:val="003D05D5"/>
    <w:rsid w:val="003E04C8"/>
    <w:rsid w:val="003E07E0"/>
    <w:rsid w:val="003E3B3C"/>
    <w:rsid w:val="003E5F6A"/>
    <w:rsid w:val="003E648E"/>
    <w:rsid w:val="003F439A"/>
    <w:rsid w:val="00402F34"/>
    <w:rsid w:val="0041582B"/>
    <w:rsid w:val="00416046"/>
    <w:rsid w:val="00420630"/>
    <w:rsid w:val="00424513"/>
    <w:rsid w:val="00427C1B"/>
    <w:rsid w:val="00431108"/>
    <w:rsid w:val="00440223"/>
    <w:rsid w:val="004409ED"/>
    <w:rsid w:val="004475C5"/>
    <w:rsid w:val="00447602"/>
    <w:rsid w:val="004561E1"/>
    <w:rsid w:val="00456B82"/>
    <w:rsid w:val="004573A2"/>
    <w:rsid w:val="00461CFE"/>
    <w:rsid w:val="004651B3"/>
    <w:rsid w:val="004745B2"/>
    <w:rsid w:val="00474F70"/>
    <w:rsid w:val="00477655"/>
    <w:rsid w:val="00495C41"/>
    <w:rsid w:val="004B0E9B"/>
    <w:rsid w:val="004B3EA3"/>
    <w:rsid w:val="004B44A6"/>
    <w:rsid w:val="004C1948"/>
    <w:rsid w:val="004C3891"/>
    <w:rsid w:val="004E167E"/>
    <w:rsid w:val="004E22C3"/>
    <w:rsid w:val="004E66E5"/>
    <w:rsid w:val="004F7224"/>
    <w:rsid w:val="00511488"/>
    <w:rsid w:val="005169A8"/>
    <w:rsid w:val="005176C5"/>
    <w:rsid w:val="005237F8"/>
    <w:rsid w:val="00524461"/>
    <w:rsid w:val="00547F0A"/>
    <w:rsid w:val="005640AD"/>
    <w:rsid w:val="0058195F"/>
    <w:rsid w:val="00582359"/>
    <w:rsid w:val="0058429B"/>
    <w:rsid w:val="005A4768"/>
    <w:rsid w:val="005B0823"/>
    <w:rsid w:val="005B6BEE"/>
    <w:rsid w:val="005B7C71"/>
    <w:rsid w:val="005C1000"/>
    <w:rsid w:val="005C579C"/>
    <w:rsid w:val="005D276E"/>
    <w:rsid w:val="005E62AA"/>
    <w:rsid w:val="005E71AA"/>
    <w:rsid w:val="005F21BE"/>
    <w:rsid w:val="005F3998"/>
    <w:rsid w:val="005F51ED"/>
    <w:rsid w:val="0060217A"/>
    <w:rsid w:val="006116B2"/>
    <w:rsid w:val="00613CDB"/>
    <w:rsid w:val="006146AF"/>
    <w:rsid w:val="00627FA9"/>
    <w:rsid w:val="00635C80"/>
    <w:rsid w:val="00643BB6"/>
    <w:rsid w:val="0064757B"/>
    <w:rsid w:val="006572C2"/>
    <w:rsid w:val="00657461"/>
    <w:rsid w:val="00670B32"/>
    <w:rsid w:val="006742D6"/>
    <w:rsid w:val="00684C0E"/>
    <w:rsid w:val="00696C43"/>
    <w:rsid w:val="0069788F"/>
    <w:rsid w:val="006A3B72"/>
    <w:rsid w:val="006A6543"/>
    <w:rsid w:val="006B7A6B"/>
    <w:rsid w:val="006C5434"/>
    <w:rsid w:val="006D15A6"/>
    <w:rsid w:val="006D54C5"/>
    <w:rsid w:val="006F77F9"/>
    <w:rsid w:val="00707DE6"/>
    <w:rsid w:val="007104B7"/>
    <w:rsid w:val="00715C4C"/>
    <w:rsid w:val="0071785D"/>
    <w:rsid w:val="00723142"/>
    <w:rsid w:val="00725D52"/>
    <w:rsid w:val="00732DDA"/>
    <w:rsid w:val="0074044B"/>
    <w:rsid w:val="007429A4"/>
    <w:rsid w:val="00751E94"/>
    <w:rsid w:val="0075440C"/>
    <w:rsid w:val="00761032"/>
    <w:rsid w:val="00774094"/>
    <w:rsid w:val="00781540"/>
    <w:rsid w:val="00784735"/>
    <w:rsid w:val="00790DE1"/>
    <w:rsid w:val="007925F1"/>
    <w:rsid w:val="00794727"/>
    <w:rsid w:val="007A7662"/>
    <w:rsid w:val="007B2520"/>
    <w:rsid w:val="007B40EF"/>
    <w:rsid w:val="007B78FD"/>
    <w:rsid w:val="007D057E"/>
    <w:rsid w:val="007E2819"/>
    <w:rsid w:val="007E29CC"/>
    <w:rsid w:val="007F3935"/>
    <w:rsid w:val="007F57C3"/>
    <w:rsid w:val="007F5841"/>
    <w:rsid w:val="007F7681"/>
    <w:rsid w:val="00800EAF"/>
    <w:rsid w:val="008031C6"/>
    <w:rsid w:val="0081237D"/>
    <w:rsid w:val="00822E19"/>
    <w:rsid w:val="00835703"/>
    <w:rsid w:val="00836E01"/>
    <w:rsid w:val="008415D5"/>
    <w:rsid w:val="00842701"/>
    <w:rsid w:val="00842F9E"/>
    <w:rsid w:val="00862F43"/>
    <w:rsid w:val="00872200"/>
    <w:rsid w:val="00887AAA"/>
    <w:rsid w:val="00887F9E"/>
    <w:rsid w:val="00894DA9"/>
    <w:rsid w:val="008A01EA"/>
    <w:rsid w:val="008A33F2"/>
    <w:rsid w:val="008B1C58"/>
    <w:rsid w:val="008C13FB"/>
    <w:rsid w:val="008D5CD6"/>
    <w:rsid w:val="008E1701"/>
    <w:rsid w:val="008E6E45"/>
    <w:rsid w:val="008F4E48"/>
    <w:rsid w:val="008F7635"/>
    <w:rsid w:val="00901ACB"/>
    <w:rsid w:val="00904CCB"/>
    <w:rsid w:val="00904D34"/>
    <w:rsid w:val="00910CE1"/>
    <w:rsid w:val="00911AFB"/>
    <w:rsid w:val="0091678B"/>
    <w:rsid w:val="00922A10"/>
    <w:rsid w:val="00932F17"/>
    <w:rsid w:val="00933F79"/>
    <w:rsid w:val="009377F9"/>
    <w:rsid w:val="009427FC"/>
    <w:rsid w:val="00944AE3"/>
    <w:rsid w:val="00945D0F"/>
    <w:rsid w:val="00947F02"/>
    <w:rsid w:val="009522EB"/>
    <w:rsid w:val="00963B6D"/>
    <w:rsid w:val="009816CC"/>
    <w:rsid w:val="009909DA"/>
    <w:rsid w:val="009913AC"/>
    <w:rsid w:val="009924E5"/>
    <w:rsid w:val="009A2F24"/>
    <w:rsid w:val="009A7D3B"/>
    <w:rsid w:val="009B306B"/>
    <w:rsid w:val="009B6D34"/>
    <w:rsid w:val="009C52D0"/>
    <w:rsid w:val="009C79D7"/>
    <w:rsid w:val="009C7FEB"/>
    <w:rsid w:val="009D7CE8"/>
    <w:rsid w:val="009E358F"/>
    <w:rsid w:val="009E4265"/>
    <w:rsid w:val="009F658A"/>
    <w:rsid w:val="00A16022"/>
    <w:rsid w:val="00A40B76"/>
    <w:rsid w:val="00A417CC"/>
    <w:rsid w:val="00A41AAD"/>
    <w:rsid w:val="00A4339F"/>
    <w:rsid w:val="00A47D8D"/>
    <w:rsid w:val="00A513DD"/>
    <w:rsid w:val="00A75BD8"/>
    <w:rsid w:val="00A813C9"/>
    <w:rsid w:val="00A81E36"/>
    <w:rsid w:val="00A85A7A"/>
    <w:rsid w:val="00A85CC8"/>
    <w:rsid w:val="00A92B0D"/>
    <w:rsid w:val="00A947D4"/>
    <w:rsid w:val="00A960B5"/>
    <w:rsid w:val="00AA0AAE"/>
    <w:rsid w:val="00AA535C"/>
    <w:rsid w:val="00AA6C69"/>
    <w:rsid w:val="00AC08E7"/>
    <w:rsid w:val="00AC44A1"/>
    <w:rsid w:val="00AD6AFC"/>
    <w:rsid w:val="00AD7085"/>
    <w:rsid w:val="00AE1578"/>
    <w:rsid w:val="00AE40AA"/>
    <w:rsid w:val="00AF1607"/>
    <w:rsid w:val="00AF2D3F"/>
    <w:rsid w:val="00AF305A"/>
    <w:rsid w:val="00AF5687"/>
    <w:rsid w:val="00B0725A"/>
    <w:rsid w:val="00B275A7"/>
    <w:rsid w:val="00B277F1"/>
    <w:rsid w:val="00B3193D"/>
    <w:rsid w:val="00B400A3"/>
    <w:rsid w:val="00B412C7"/>
    <w:rsid w:val="00B4425D"/>
    <w:rsid w:val="00B54575"/>
    <w:rsid w:val="00B55EC3"/>
    <w:rsid w:val="00B5772A"/>
    <w:rsid w:val="00B57BFE"/>
    <w:rsid w:val="00B57FAD"/>
    <w:rsid w:val="00B7242B"/>
    <w:rsid w:val="00B77316"/>
    <w:rsid w:val="00B80521"/>
    <w:rsid w:val="00B86AC9"/>
    <w:rsid w:val="00B90394"/>
    <w:rsid w:val="00BA59A4"/>
    <w:rsid w:val="00BA72D8"/>
    <w:rsid w:val="00BB0548"/>
    <w:rsid w:val="00BB3EC1"/>
    <w:rsid w:val="00BC5A85"/>
    <w:rsid w:val="00BD4FF1"/>
    <w:rsid w:val="00BF28A0"/>
    <w:rsid w:val="00C0714F"/>
    <w:rsid w:val="00C14BFA"/>
    <w:rsid w:val="00C16F29"/>
    <w:rsid w:val="00C21B27"/>
    <w:rsid w:val="00C22297"/>
    <w:rsid w:val="00C2281B"/>
    <w:rsid w:val="00C229B5"/>
    <w:rsid w:val="00C3389E"/>
    <w:rsid w:val="00C42406"/>
    <w:rsid w:val="00C51281"/>
    <w:rsid w:val="00C53FD6"/>
    <w:rsid w:val="00C54C32"/>
    <w:rsid w:val="00C56DD5"/>
    <w:rsid w:val="00C57F45"/>
    <w:rsid w:val="00C62E4F"/>
    <w:rsid w:val="00C630CB"/>
    <w:rsid w:val="00C71B0D"/>
    <w:rsid w:val="00C8030A"/>
    <w:rsid w:val="00C8290C"/>
    <w:rsid w:val="00C8566C"/>
    <w:rsid w:val="00C942AE"/>
    <w:rsid w:val="00C96517"/>
    <w:rsid w:val="00C97E3B"/>
    <w:rsid w:val="00CA4E1B"/>
    <w:rsid w:val="00CB2E3E"/>
    <w:rsid w:val="00CB3093"/>
    <w:rsid w:val="00CB61EC"/>
    <w:rsid w:val="00CC6637"/>
    <w:rsid w:val="00CD0E7E"/>
    <w:rsid w:val="00CD164F"/>
    <w:rsid w:val="00CE042F"/>
    <w:rsid w:val="00CE3677"/>
    <w:rsid w:val="00CF211B"/>
    <w:rsid w:val="00D0513C"/>
    <w:rsid w:val="00D064C6"/>
    <w:rsid w:val="00D06F8E"/>
    <w:rsid w:val="00D12A97"/>
    <w:rsid w:val="00D17C8B"/>
    <w:rsid w:val="00D21365"/>
    <w:rsid w:val="00D231B9"/>
    <w:rsid w:val="00D23D8F"/>
    <w:rsid w:val="00D24B4B"/>
    <w:rsid w:val="00D27A33"/>
    <w:rsid w:val="00D330BD"/>
    <w:rsid w:val="00D54839"/>
    <w:rsid w:val="00D578C3"/>
    <w:rsid w:val="00D70B21"/>
    <w:rsid w:val="00D72776"/>
    <w:rsid w:val="00D72B0C"/>
    <w:rsid w:val="00D7399B"/>
    <w:rsid w:val="00D74CCE"/>
    <w:rsid w:val="00DA2FA9"/>
    <w:rsid w:val="00DA3D91"/>
    <w:rsid w:val="00DA58BE"/>
    <w:rsid w:val="00DB2646"/>
    <w:rsid w:val="00DB2715"/>
    <w:rsid w:val="00DC7FE2"/>
    <w:rsid w:val="00DD2BD1"/>
    <w:rsid w:val="00DF1790"/>
    <w:rsid w:val="00DF51B2"/>
    <w:rsid w:val="00E00A62"/>
    <w:rsid w:val="00E044A8"/>
    <w:rsid w:val="00E050EB"/>
    <w:rsid w:val="00E106FF"/>
    <w:rsid w:val="00E10E4B"/>
    <w:rsid w:val="00E14ED1"/>
    <w:rsid w:val="00E2660E"/>
    <w:rsid w:val="00E350DF"/>
    <w:rsid w:val="00E37B7B"/>
    <w:rsid w:val="00E477CD"/>
    <w:rsid w:val="00E5348D"/>
    <w:rsid w:val="00E5564F"/>
    <w:rsid w:val="00E6772C"/>
    <w:rsid w:val="00E8514D"/>
    <w:rsid w:val="00E9265A"/>
    <w:rsid w:val="00E928CF"/>
    <w:rsid w:val="00EA2C8E"/>
    <w:rsid w:val="00EA388C"/>
    <w:rsid w:val="00EB582B"/>
    <w:rsid w:val="00EB5CDD"/>
    <w:rsid w:val="00EC588B"/>
    <w:rsid w:val="00EC7615"/>
    <w:rsid w:val="00EC79EC"/>
    <w:rsid w:val="00ED36E5"/>
    <w:rsid w:val="00EF06C9"/>
    <w:rsid w:val="00EF4E38"/>
    <w:rsid w:val="00F033FD"/>
    <w:rsid w:val="00F04459"/>
    <w:rsid w:val="00F11C8C"/>
    <w:rsid w:val="00F12FE2"/>
    <w:rsid w:val="00F16686"/>
    <w:rsid w:val="00F17320"/>
    <w:rsid w:val="00F22CC9"/>
    <w:rsid w:val="00F37686"/>
    <w:rsid w:val="00F42DE0"/>
    <w:rsid w:val="00F476F7"/>
    <w:rsid w:val="00F5002E"/>
    <w:rsid w:val="00F509BC"/>
    <w:rsid w:val="00F54A45"/>
    <w:rsid w:val="00F54BB5"/>
    <w:rsid w:val="00F646BE"/>
    <w:rsid w:val="00F65666"/>
    <w:rsid w:val="00F665AD"/>
    <w:rsid w:val="00F71BC6"/>
    <w:rsid w:val="00F875D6"/>
    <w:rsid w:val="00FA0EAB"/>
    <w:rsid w:val="00FA171E"/>
    <w:rsid w:val="00FA69A1"/>
    <w:rsid w:val="00FB4DF8"/>
    <w:rsid w:val="00FC258B"/>
    <w:rsid w:val="00FC2E56"/>
    <w:rsid w:val="00FE1C42"/>
    <w:rsid w:val="00FF1D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8FF31"/>
  <w15:docId w15:val="{A59F7768-CC21-4D05-AE78-CE992302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3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38699E"/>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686"/>
    <w:rPr>
      <w:rFonts w:ascii="Tahoma" w:hAnsi="Tahoma" w:cs="Tahoma"/>
      <w:sz w:val="16"/>
      <w:szCs w:val="16"/>
    </w:rPr>
  </w:style>
  <w:style w:type="paragraph" w:styleId="NoSpacing">
    <w:name w:val="No Spacing"/>
    <w:link w:val="NoSpacingChar"/>
    <w:uiPriority w:val="1"/>
    <w:qFormat/>
    <w:rsid w:val="00C630CB"/>
    <w:pPr>
      <w:spacing w:after="0" w:line="240" w:lineRule="auto"/>
    </w:pPr>
  </w:style>
  <w:style w:type="character" w:customStyle="1" w:styleId="NoSpacingChar">
    <w:name w:val="No Spacing Char"/>
    <w:basedOn w:val="DefaultParagraphFont"/>
    <w:link w:val="NoSpacing"/>
    <w:uiPriority w:val="1"/>
    <w:rsid w:val="00C630CB"/>
  </w:style>
  <w:style w:type="paragraph" w:styleId="NormalWeb">
    <w:name w:val="Normal (Web)"/>
    <w:basedOn w:val="Normal"/>
    <w:uiPriority w:val="99"/>
    <w:semiHidden/>
    <w:unhideWhenUsed/>
    <w:rsid w:val="009924E5"/>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ListParagraph">
    <w:name w:val="List Paragraph"/>
    <w:basedOn w:val="Normal"/>
    <w:uiPriority w:val="34"/>
    <w:qFormat/>
    <w:rsid w:val="002544BE"/>
    <w:pPr>
      <w:ind w:left="720"/>
      <w:contextualSpacing/>
    </w:pPr>
  </w:style>
  <w:style w:type="paragraph" w:styleId="Header">
    <w:name w:val="header"/>
    <w:basedOn w:val="Normal"/>
    <w:link w:val="HeaderChar"/>
    <w:uiPriority w:val="99"/>
    <w:unhideWhenUsed/>
    <w:rsid w:val="00C14BFA"/>
    <w:pPr>
      <w:tabs>
        <w:tab w:val="center" w:pos="4419"/>
        <w:tab w:val="right" w:pos="8838"/>
      </w:tabs>
      <w:spacing w:after="0" w:line="240" w:lineRule="auto"/>
    </w:pPr>
  </w:style>
  <w:style w:type="character" w:customStyle="1" w:styleId="HeaderChar">
    <w:name w:val="Header Char"/>
    <w:basedOn w:val="DefaultParagraphFont"/>
    <w:link w:val="Header"/>
    <w:uiPriority w:val="99"/>
    <w:rsid w:val="00C14BFA"/>
  </w:style>
  <w:style w:type="paragraph" w:styleId="Footer">
    <w:name w:val="footer"/>
    <w:basedOn w:val="Normal"/>
    <w:link w:val="FooterChar"/>
    <w:uiPriority w:val="99"/>
    <w:unhideWhenUsed/>
    <w:rsid w:val="00C14BFA"/>
    <w:pPr>
      <w:tabs>
        <w:tab w:val="center" w:pos="4419"/>
        <w:tab w:val="right" w:pos="8838"/>
      </w:tabs>
      <w:spacing w:after="0" w:line="240" w:lineRule="auto"/>
    </w:pPr>
  </w:style>
  <w:style w:type="character" w:customStyle="1" w:styleId="FooterChar">
    <w:name w:val="Footer Char"/>
    <w:basedOn w:val="DefaultParagraphFont"/>
    <w:link w:val="Footer"/>
    <w:uiPriority w:val="99"/>
    <w:rsid w:val="00C14BFA"/>
  </w:style>
  <w:style w:type="character" w:customStyle="1" w:styleId="apple-converted-space">
    <w:name w:val="apple-converted-space"/>
    <w:basedOn w:val="DefaultParagraphFont"/>
    <w:rsid w:val="00DF1790"/>
  </w:style>
  <w:style w:type="character" w:styleId="Hyperlink">
    <w:name w:val="Hyperlink"/>
    <w:basedOn w:val="DefaultParagraphFont"/>
    <w:uiPriority w:val="99"/>
    <w:unhideWhenUsed/>
    <w:rsid w:val="00DF1790"/>
    <w:rPr>
      <w:color w:val="0000FF"/>
      <w:u w:val="single"/>
    </w:rPr>
  </w:style>
  <w:style w:type="character" w:styleId="CommentReference">
    <w:name w:val="annotation reference"/>
    <w:basedOn w:val="DefaultParagraphFont"/>
    <w:uiPriority w:val="99"/>
    <w:semiHidden/>
    <w:unhideWhenUsed/>
    <w:rsid w:val="00376BF7"/>
    <w:rPr>
      <w:sz w:val="16"/>
      <w:szCs w:val="16"/>
    </w:rPr>
  </w:style>
  <w:style w:type="paragraph" w:styleId="CommentText">
    <w:name w:val="annotation text"/>
    <w:basedOn w:val="Normal"/>
    <w:link w:val="CommentTextChar"/>
    <w:uiPriority w:val="99"/>
    <w:unhideWhenUsed/>
    <w:rsid w:val="00376BF7"/>
    <w:pPr>
      <w:spacing w:line="240" w:lineRule="auto"/>
    </w:pPr>
    <w:rPr>
      <w:sz w:val="20"/>
      <w:szCs w:val="20"/>
    </w:rPr>
  </w:style>
  <w:style w:type="character" w:customStyle="1" w:styleId="CommentTextChar">
    <w:name w:val="Comment Text Char"/>
    <w:basedOn w:val="DefaultParagraphFont"/>
    <w:link w:val="CommentText"/>
    <w:uiPriority w:val="99"/>
    <w:rsid w:val="00376BF7"/>
    <w:rPr>
      <w:sz w:val="20"/>
      <w:szCs w:val="20"/>
    </w:rPr>
  </w:style>
  <w:style w:type="paragraph" w:styleId="CommentSubject">
    <w:name w:val="annotation subject"/>
    <w:basedOn w:val="CommentText"/>
    <w:next w:val="CommentText"/>
    <w:link w:val="CommentSubjectChar"/>
    <w:uiPriority w:val="99"/>
    <w:semiHidden/>
    <w:unhideWhenUsed/>
    <w:rsid w:val="00376BF7"/>
    <w:rPr>
      <w:b/>
      <w:bCs/>
    </w:rPr>
  </w:style>
  <w:style w:type="character" w:customStyle="1" w:styleId="CommentSubjectChar">
    <w:name w:val="Comment Subject Char"/>
    <w:basedOn w:val="CommentTextChar"/>
    <w:link w:val="CommentSubject"/>
    <w:uiPriority w:val="99"/>
    <w:semiHidden/>
    <w:rsid w:val="00376BF7"/>
    <w:rPr>
      <w:b/>
      <w:bCs/>
      <w:sz w:val="20"/>
      <w:szCs w:val="20"/>
    </w:rPr>
  </w:style>
  <w:style w:type="paragraph" w:customStyle="1" w:styleId="Default">
    <w:name w:val="Default"/>
    <w:rsid w:val="00BC5A85"/>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8031C6"/>
    <w:rPr>
      <w:color w:val="605E5C"/>
      <w:shd w:val="clear" w:color="auto" w:fill="E1DFDD"/>
    </w:rPr>
  </w:style>
  <w:style w:type="character" w:customStyle="1" w:styleId="Heading3Char">
    <w:name w:val="Heading 3 Char"/>
    <w:basedOn w:val="DefaultParagraphFont"/>
    <w:link w:val="Heading3"/>
    <w:uiPriority w:val="9"/>
    <w:rsid w:val="0038699E"/>
    <w:rPr>
      <w:rFonts w:asciiTheme="majorHAnsi" w:eastAsiaTheme="majorEastAsia" w:hAnsiTheme="majorHAnsi" w:cstheme="majorBidi"/>
      <w:color w:val="243F60" w:themeColor="accent1" w:themeShade="7F"/>
      <w:sz w:val="24"/>
      <w:szCs w:val="24"/>
      <w:lang w:eastAsia="es-ES_tradnl"/>
    </w:rPr>
  </w:style>
  <w:style w:type="paragraph" w:styleId="TOC1">
    <w:name w:val="toc 1"/>
    <w:basedOn w:val="Normal"/>
    <w:next w:val="Normal"/>
    <w:autoRedefine/>
    <w:uiPriority w:val="39"/>
    <w:unhideWhenUsed/>
    <w:rsid w:val="00AE1578"/>
    <w:pPr>
      <w:spacing w:after="100" w:line="259" w:lineRule="auto"/>
    </w:pPr>
    <w:rPr>
      <w:rFonts w:ascii="Arial Narrow" w:eastAsia="Calibri" w:hAnsi="Arial Narrow" w:cs="Calibri"/>
      <w:lang w:eastAsia="es-CO"/>
    </w:rPr>
  </w:style>
  <w:style w:type="paragraph" w:styleId="TOC3">
    <w:name w:val="toc 3"/>
    <w:basedOn w:val="Normal"/>
    <w:next w:val="Normal"/>
    <w:autoRedefine/>
    <w:uiPriority w:val="39"/>
    <w:unhideWhenUsed/>
    <w:rsid w:val="00AE1578"/>
    <w:pPr>
      <w:spacing w:after="100"/>
      <w:ind w:left="440"/>
    </w:pPr>
  </w:style>
  <w:style w:type="character" w:customStyle="1" w:styleId="Heading1Char">
    <w:name w:val="Heading 1 Char"/>
    <w:basedOn w:val="DefaultParagraphFont"/>
    <w:link w:val="Heading1"/>
    <w:uiPriority w:val="9"/>
    <w:rsid w:val="0013336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33362"/>
    <w:pPr>
      <w:spacing w:line="259" w:lineRule="auto"/>
      <w:outlineLvl w:val="9"/>
    </w:pPr>
    <w:rPr>
      <w:lang w:val="en-US"/>
    </w:rPr>
  </w:style>
  <w:style w:type="paragraph" w:styleId="TOC2">
    <w:name w:val="toc 2"/>
    <w:basedOn w:val="Normal"/>
    <w:next w:val="Normal"/>
    <w:autoRedefine/>
    <w:uiPriority w:val="39"/>
    <w:unhideWhenUsed/>
    <w:rsid w:val="00133362"/>
    <w:pPr>
      <w:spacing w:after="100" w:line="259" w:lineRule="auto"/>
      <w:ind w:left="22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338702">
      <w:bodyDiv w:val="1"/>
      <w:marLeft w:val="0"/>
      <w:marRight w:val="0"/>
      <w:marTop w:val="0"/>
      <w:marBottom w:val="0"/>
      <w:divBdr>
        <w:top w:val="none" w:sz="0" w:space="0" w:color="auto"/>
        <w:left w:val="none" w:sz="0" w:space="0" w:color="auto"/>
        <w:bottom w:val="none" w:sz="0" w:space="0" w:color="auto"/>
        <w:right w:val="none" w:sz="0" w:space="0" w:color="auto"/>
      </w:divBdr>
    </w:div>
    <w:div w:id="868101130">
      <w:bodyDiv w:val="1"/>
      <w:marLeft w:val="0"/>
      <w:marRight w:val="0"/>
      <w:marTop w:val="0"/>
      <w:marBottom w:val="0"/>
      <w:divBdr>
        <w:top w:val="none" w:sz="0" w:space="0" w:color="auto"/>
        <w:left w:val="none" w:sz="0" w:space="0" w:color="auto"/>
        <w:bottom w:val="none" w:sz="0" w:space="0" w:color="auto"/>
        <w:right w:val="none" w:sz="0" w:space="0" w:color="auto"/>
      </w:divBdr>
    </w:div>
    <w:div w:id="990522872">
      <w:bodyDiv w:val="1"/>
      <w:marLeft w:val="0"/>
      <w:marRight w:val="0"/>
      <w:marTop w:val="0"/>
      <w:marBottom w:val="0"/>
      <w:divBdr>
        <w:top w:val="none" w:sz="0" w:space="0" w:color="auto"/>
        <w:left w:val="none" w:sz="0" w:space="0" w:color="auto"/>
        <w:bottom w:val="none" w:sz="0" w:space="0" w:color="auto"/>
        <w:right w:val="none" w:sz="0" w:space="0" w:color="auto"/>
      </w:divBdr>
    </w:div>
    <w:div w:id="1119567177">
      <w:bodyDiv w:val="1"/>
      <w:marLeft w:val="0"/>
      <w:marRight w:val="0"/>
      <w:marTop w:val="0"/>
      <w:marBottom w:val="0"/>
      <w:divBdr>
        <w:top w:val="none" w:sz="0" w:space="0" w:color="auto"/>
        <w:left w:val="none" w:sz="0" w:space="0" w:color="auto"/>
        <w:bottom w:val="none" w:sz="0" w:space="0" w:color="auto"/>
        <w:right w:val="none" w:sz="0" w:space="0" w:color="auto"/>
      </w:divBdr>
    </w:div>
    <w:div w:id="1158426902">
      <w:bodyDiv w:val="1"/>
      <w:marLeft w:val="0"/>
      <w:marRight w:val="0"/>
      <w:marTop w:val="0"/>
      <w:marBottom w:val="0"/>
      <w:divBdr>
        <w:top w:val="none" w:sz="0" w:space="0" w:color="auto"/>
        <w:left w:val="none" w:sz="0" w:space="0" w:color="auto"/>
        <w:bottom w:val="none" w:sz="0" w:space="0" w:color="auto"/>
        <w:right w:val="none" w:sz="0" w:space="0" w:color="auto"/>
      </w:divBdr>
    </w:div>
    <w:div w:id="1197237820">
      <w:bodyDiv w:val="1"/>
      <w:marLeft w:val="0"/>
      <w:marRight w:val="0"/>
      <w:marTop w:val="0"/>
      <w:marBottom w:val="0"/>
      <w:divBdr>
        <w:top w:val="none" w:sz="0" w:space="0" w:color="auto"/>
        <w:left w:val="none" w:sz="0" w:space="0" w:color="auto"/>
        <w:bottom w:val="none" w:sz="0" w:space="0" w:color="auto"/>
        <w:right w:val="none" w:sz="0" w:space="0" w:color="auto"/>
      </w:divBdr>
    </w:div>
    <w:div w:id="1288046300">
      <w:bodyDiv w:val="1"/>
      <w:marLeft w:val="0"/>
      <w:marRight w:val="0"/>
      <w:marTop w:val="0"/>
      <w:marBottom w:val="0"/>
      <w:divBdr>
        <w:top w:val="none" w:sz="0" w:space="0" w:color="auto"/>
        <w:left w:val="none" w:sz="0" w:space="0" w:color="auto"/>
        <w:bottom w:val="none" w:sz="0" w:space="0" w:color="auto"/>
        <w:right w:val="none" w:sz="0" w:space="0" w:color="auto"/>
      </w:divBdr>
    </w:div>
    <w:div w:id="177415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bitatbogota.gov.co/transparencia/informacion-interes/datos-abierto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habitatbogota.gov.co/transparencia/informacion-interes/datos-abiertos" TargetMode="External"/><Relationship Id="rId4" Type="http://schemas.openxmlformats.org/officeDocument/2006/relationships/settings" Target="settings.xml"/><Relationship Id="rId9" Type="http://schemas.openxmlformats.org/officeDocument/2006/relationships/hyperlink" Target="https://datosabiertos.bogota.gov.c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DDE3-FA2F-4BE1-B92A-2C35C91C5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2420</Words>
  <Characters>13799</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German Alberto Baquiro Duque</dc:creator>
  <cp:lastModifiedBy>German Alberto Baquiro Duque</cp:lastModifiedBy>
  <cp:revision>22</cp:revision>
  <cp:lastPrinted>2016-11-22T23:00:00Z</cp:lastPrinted>
  <dcterms:created xsi:type="dcterms:W3CDTF">2023-01-10T21:56:00Z</dcterms:created>
  <dcterms:modified xsi:type="dcterms:W3CDTF">2023-01-11T14:31:00Z</dcterms:modified>
</cp:coreProperties>
</file>